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Deney hedefleri güncellemesi</w:t>
      </w:r>
    </w:p>
    <w:p>
      <w:pPr>
        <w:pStyle w:val="BodyText"/>
      </w:pPr>
      <w:r>
        <w:rPr>
          <w:b/>
          <w:bCs/>
        </w:rPr>
        <w:t xml:space="preserve">Proje adı:</w:t>
      </w:r>
      <w:r>
        <w:t xml:space="preserve"> </w:t>
      </w:r>
      <w:r>
        <w:t xml:space="preserve">Kullanıcı tarafından belirlenen rota bilgisine göre hareket eden otonom araç tasarımı</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Planlanan proje süresi</w:t>
            </w:r>
          </w:p>
        </w:tc>
        <w:tc>
          <w:tcPr>
            <w:tcW w:type="dxa" w:w="7257"/>
            <w:vAlign w:val="top"/>
          </w:tcPr>
          <w:p>
            <w:pPr>
              <w:pStyle w:val="Compact"/>
              <w:spacing w:after="60" w:line="252" w:lineRule="auto"/>
              <w:jc w:val="left"/>
            </w:pPr>
            <w:r>
              <w:rPr>
                <w:sz w:val="19"/>
              </w:rPr>
              <w:t xml:space="preserve">6 ay; resmî takvim sonuçların ilanına göre başlayacaktır.</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Waypoint erişimi ve rotaya dönüş için en çok 10 cm uzaklık, deneme başına en çok 120 saniye hedeflenmektedir. Aracın hareketinin bağımsız değerlendirilmesinde, mevcut telefonla sabit görüntü kaydı ve kalibrasyon düzeni kurulması planlanmaktadır.</w:t>
      </w:r>
    </w:p>
    <w:p>
      <w:pPr>
        <w:pStyle w:val="BodyText"/>
      </w:pPr>
      <w:r>
        <w:t xml:space="preserve">Çalışma, altı ay içinde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120 saniye içinde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erişimi ve rotaya dönüş için 10 cm tolerans, her deneme için 120 saniye üst sınırı planlanmıştır. Bu hedeflerin uygulanabilirliği, donanım özellikleri ve bağımsız ölçüm düzeniyle değerlendirilecek; kalan durum geçişi ve kalibrasyon parametreleri başvuru öncesinde danışmanla gözden geçirilecektir.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Planlanan sayısal değerlendirme ölçütleri aşağıdadır. Bunlar prototipte elde edilmiş performans değerleri değildir.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Ölçüt</w:t>
            </w:r>
          </w:p>
        </w:tc>
        <w:tc>
          <w:tcPr>
            <w:tcW w:type="dxa" w:w="3175"/>
            <w:vAlign w:val="top"/>
            <w:shd w:fill="EAF1F7"/>
          </w:tcPr>
          <w:p>
            <w:pPr>
              <w:pStyle w:val="Compact"/>
              <w:spacing w:after="60" w:line="252" w:lineRule="auto"/>
              <w:jc w:val="left"/>
            </w:pPr>
            <w:r>
              <w:rPr>
                <w:b/>
                <w:sz w:val="19"/>
              </w:rPr>
              <w:t xml:space="preserve">Planlanan hedef</w:t>
            </w:r>
          </w:p>
        </w:tc>
        <w:tc>
          <w:tcPr>
            <w:tcW w:type="dxa" w:w="4762"/>
            <w:vAlign w:val="top"/>
            <w:shd w:fill="EAF1F7"/>
          </w:tcPr>
          <w:p>
            <w:pPr>
              <w:pStyle w:val="Compact"/>
              <w:spacing w:after="60" w:line="252" w:lineRule="auto"/>
              <w:jc w:val="left"/>
            </w:pPr>
            <w:r>
              <w:rPr>
                <w:b/>
                <w:sz w:val="19"/>
              </w:rPr>
              <w:t xml:space="preserve">Değerlendirme tanımı</w:t>
            </w:r>
          </w:p>
        </w:tc>
      </w:tr>
      <w:tr>
        <w:trPr>
          <w:cantSplit/>
        </w:trPr>
        <w:tc>
          <w:tcPr>
            <w:tcW w:type="dxa" w:w="1701"/>
            <w:vAlign w:val="top"/>
          </w:tcPr>
          <w:p>
            <w:pPr>
              <w:pStyle w:val="Compact"/>
              <w:spacing w:after="60" w:line="252" w:lineRule="auto"/>
              <w:jc w:val="left"/>
            </w:pPr>
            <w:r>
              <w:rPr>
                <w:sz w:val="19"/>
              </w:rPr>
              <w:t xml:space="preserve">Waypoint erişimi</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sıradaki waypoint veya son hedef noktasına Öklid uzaklığı.</w:t>
            </w:r>
          </w:p>
        </w:tc>
      </w:tr>
      <w:tr>
        <w:trPr>
          <w:cantSplit/>
        </w:trPr>
        <w:tc>
          <w:tcPr>
            <w:tcW w:type="dxa" w:w="1701"/>
            <w:vAlign w:val="top"/>
          </w:tcPr>
          <w:p>
            <w:pPr>
              <w:pStyle w:val="Compact"/>
              <w:spacing w:after="60" w:line="252" w:lineRule="auto"/>
              <w:jc w:val="left"/>
            </w:pPr>
            <w:r>
              <w:rPr>
                <w:sz w:val="19"/>
              </w:rPr>
              <w:t xml:space="preserve">Rotaya dönüş</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etkin sonlu rota parçasına uzaklığı. Engel geride bırakılmış, gövde için geçiş açık ve hedef yönünde ilerleme sürüyor olacak.</w:t>
            </w:r>
          </w:p>
        </w:tc>
      </w:tr>
      <w:tr>
        <w:trPr>
          <w:cantSplit/>
        </w:trPr>
        <w:tc>
          <w:tcPr>
            <w:tcW w:type="dxa" w:w="1701"/>
            <w:vAlign w:val="top"/>
          </w:tcPr>
          <w:p>
            <w:pPr>
              <w:pStyle w:val="Compact"/>
              <w:spacing w:after="60" w:line="252" w:lineRule="auto"/>
              <w:jc w:val="left"/>
            </w:pPr>
            <w:r>
              <w:rPr>
                <w:sz w:val="19"/>
              </w:rPr>
              <w:t xml:space="preserve">Deneme süresi</w:t>
            </w:r>
          </w:p>
        </w:tc>
        <w:tc>
          <w:tcPr>
            <w:tcW w:type="dxa" w:w="3175"/>
            <w:vAlign w:val="top"/>
          </w:tcPr>
          <w:p>
            <w:pPr>
              <w:pStyle w:val="Compact"/>
              <w:spacing w:after="60" w:line="252" w:lineRule="auto"/>
              <w:jc w:val="left"/>
            </w:pPr>
            <w:r>
              <w:rPr>
                <w:sz w:val="19"/>
              </w:rPr>
              <w:t xml:space="preserve">En çok 120 saniye</w:t>
            </w:r>
          </w:p>
        </w:tc>
        <w:tc>
          <w:tcPr>
            <w:tcW w:type="dxa" w:w="4762"/>
            <w:vAlign w:val="top"/>
          </w:tcPr>
          <w:p>
            <w:pPr>
              <w:pStyle w:val="Compact"/>
              <w:spacing w:after="60" w:line="252" w:lineRule="auto"/>
              <w:jc w:val="left"/>
            </w:pPr>
            <w:r>
              <w:rPr>
                <w:sz w:val="19"/>
              </w:rPr>
              <w:t xml:space="preserve">Hareketin başlamasından sıralı waypoint’ler üzerinden son hedefe erişilerek görevin tamamlanmasına kadar geçen süre.</w:t>
            </w:r>
          </w:p>
        </w:tc>
      </w:tr>
    </w:tbl>
    <w:p>
      <w:pPr>
        <w:pStyle w:val="BodyText"/>
      </w:pPr>
      <w:r>
        <w:t xml:space="preserve">10 cm değeri waypoint erişimi ve rotaya dönüş için kullanılacaktır; tüm hareket boyunca rota hatasının bu değerin altında kaldığı varsayılmayacaktır. Ölçüm belirsizliği kaydedilecek ve eşik çevresindeki kararlar bu belirsizlikle değerlendirilecektir. Bantta kalma ve son hedefte durma süreleri, ilerleme kontrolü ve diğer kalibrasyon parametreleri ayrıca tanımlanacaktır. Seçilen hedeflerin uygulanabilirliği, bağımsız ölçüm düzeni ve danışman incelemesiyle değerlendirilecektir.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Projenin planlanan süresi altı aydır. Çalışmalar aşağıdaki beş iş paketinde yürütülecek; ay aralıkları değerlendirme sonuçlarının ilanına göre başlayan proje takvimini gösterecektir. Her iş paketinin uygulama sorumlusu Ahmet Talha Arslan’dır. Akademik danışmanın bilimsel yönlendirme ve incelemesi çalışma boyunca sürecektir.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Planlanan ay aralığı</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3.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4–5. ay</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toplam 40 geçerli deneme, her engelli koşulda en az 8/10 birleşik başarı hedefi ve başarısızlıklar dahil değerlendirme.</w:t>
            </w:r>
          </w:p>
        </w:tc>
        <w:tc>
          <w:tcPr>
            <w:tcW w:type="dxa" w:w="2608"/>
            <w:vAlign w:val="top"/>
          </w:tcPr>
          <w:p>
            <w:pPr>
              <w:pStyle w:val="Compact"/>
              <w:spacing w:after="60" w:line="252" w:lineRule="auto"/>
              <w:jc w:val="left"/>
            </w:pPr>
            <w:r>
              <w:rPr>
                <w:sz w:val="19"/>
              </w:rPr>
              <w:t xml:space="preserve">6. ay</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araştırmanın başarısına katkıları toplamı %100’dür. İlk iki ayda donanım ve arayüz çalışmaları kısmen paralel ilerletilecek; donanıma erişim beklenirken arayüzün koordinat ve komut işlevleri üzerinde çalışılabilecektir. Üçüncü aydaki rota takibi, hareket/enkoder kalibrasyonu ve rota aktarımı tamamlandıktan sonra yürütülecektir. Kaçınma davranışının bütünleştirilmesini, son sürümün sabitlenmesi ve altıncı aydaki nihai deneyler izleyecektir. Tek yürütücünün iş yükü bu bağımlılıklar dikkate alınarak düzenlenecektir.</w:t>
      </w:r>
    </w:p>
    <w:p>
      <w:pPr>
        <w:pStyle w:val="BodyText"/>
      </w:pPr>
      <w:r>
        <w:t xml:space="preserve">Üniversite bitirme projesi için Haziran 2027 teslimi hedeflenmektedir; kesin gün henüz belirlenmemiştir. Sonuçların ilan tarihi bilinmediğinden altı aylık resmî sürenin takvim üzerindeki bitiş günü şu aşamada belirtilmemektedir. Akademik teslim hedefi ile resmî destek takviminin ilişkisi başvuru öncesinde danışmanla değerlendirilecektir.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2026-10-22T10:01:06Z</dcterms:created>
  <dcterms:modified xsi:type="dcterms:W3CDTF">2026-10-22T10:01:06Z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