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Dil ve anlatım düzenlemesi</w:t>
      </w:r>
    </w:p>
    <w:p>
      <w:pPr>
        <w:pStyle w:val="BodyText"/>
      </w:pPr>
      <w:r>
        <w:rPr>
          <w:b/>
          <w:bCs/>
        </w:rPr>
        <w:t xml:space="preserve">Proje adı önerisi:</w:t>
      </w:r>
      <w:r>
        <w:t xml:space="preserve"> </w:t>
      </w:r>
      <w:r>
        <w:t xml:space="preserve">Kullanıcı Tanımlı Rota Takibi ve Engelden Kaçınma Özellikli Otonom Kara Aracının Geliştirilmesi</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Resmî proje süresi</w:t>
            </w:r>
          </w:p>
        </w:tc>
        <w:tc>
          <w:tcPr>
            <w:tcW w:type="dxa" w:w="7257"/>
            <w:vAlign w:val="top"/>
          </w:tcPr>
          <w:p>
            <w:pPr>
              <w:pStyle w:val="Compact"/>
              <w:spacing w:after="60" w:line="252" w:lineRule="auto"/>
              <w:jc w:val="left"/>
            </w:pPr>
            <w:r>
              <w:rPr>
                <w:sz w:val="19"/>
              </w:rPr>
              <w:t xml:space="preserve">Henüz belirlenmedi.</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 toleransı, rotaya dönüş ölçütleri ve deneme süre sınırı; ölçüm düzeninin duyarlılığı, donanım özellikleri ve danışman değerlendirmesiyle başvuru öncesinde kesinleştirilecektir.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Sensör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erişimi ve rotaya dönüş için kullanılacak toleranslar ile deneme süre sınırı, ölçüm duyarlılığı ve donanım özellikleriyle gerekçelendirilecektir. Başvuruda kullanılacak sayısal değerler, ölçüm düzeninin uygulanabilirliği ve danışman değerlendirmesiyle kesinleştirilecektir.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Çalışma beş iş paketinde yürütülecektir. Aşağıdaki dönemler Haziran 2027 bitirme teslim hedefine göre hazırlanmış</w:t>
      </w:r>
      <w:r>
        <w:t xml:space="preserve"> </w:t>
      </w:r>
      <w:r>
        <w:rPr>
          <w:b/>
          <w:bCs/>
        </w:rPr>
        <w:t xml:space="preserve">akademik plan önerisidir</w:t>
      </w:r>
      <w:r>
        <w:t xml:space="preserve">; resmî TÜBİTAK başlangıcı veya TYBS ay aralıkları değildir. Başvuruya girilecek toplam ay sayısı ve resmî iş paketi aralıkları başvuru öncesinde belirlenecektir. Her iş paketinin uygulama sorumlusu Ahmet Talha Arslan’dır.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Akademik hedef dönemi</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Kasım–Aralık 2026; donanıma erişime bağlı.</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Ocak 2027</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Şubat 2027</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Mart–Nisan 2027</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seçilen 40 deneme, koşul başına ana başarı hedefi ve başarısızlıklar dahil değerlendirme.</w:t>
            </w:r>
          </w:p>
        </w:tc>
        <w:tc>
          <w:tcPr>
            <w:tcW w:type="dxa" w:w="2608"/>
            <w:vAlign w:val="top"/>
          </w:tcPr>
          <w:p>
            <w:pPr>
              <w:pStyle w:val="Compact"/>
              <w:spacing w:after="60" w:line="252" w:lineRule="auto"/>
              <w:jc w:val="left"/>
            </w:pPr>
            <w:r>
              <w:rPr>
                <w:sz w:val="19"/>
              </w:rPr>
              <w:t xml:space="preserve">Mayıs 2027</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başarıya katkıları toplamı %100’dür. Donanıma erişim beklenirken arayüz ve yazılım hazırlığı öne alınabilecektir. Deney ve analizlerin Mayıs ayında, danışman incelemesi ve bitirme tesliminin Haziran ayında tamamlanması hedeflenmektedir. Kesin teslim günü henüz belirlenmemiştir.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Kaynaklı fiyat, stok ve teknik uyumu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2026-10-22T05:52:01Z</dcterms:created>
  <dcterms:modified xsi:type="dcterms:W3CDTF">2026-10-22T05:52:01Z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