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Yöntem ve kaynakça güncellemesi</w:t>
      </w:r>
    </w:p>
    <w:p>
      <w:pPr>
        <w:pStyle w:val="BodyText"/>
      </w:pPr>
      <w:r>
        <w:rPr>
          <w:b/>
          <w:bCs/>
        </w:rPr>
        <w:t xml:space="preserve">Proje adı önerisi:</w:t>
      </w:r>
      <w:r>
        <w:t xml:space="preserve"> </w:t>
      </w:r>
      <w:r>
        <w:t xml:space="preserve">Kullanıcı Tanımlı Rota Takibi ve Engelden Kaçınma Özellikli Otonom Kara Aracının Geliştirilmesi</w:t>
      </w:r>
    </w:p>
    <w:p>
      <w:pPr>
        <w:pStyle w:val="BodyText"/>
      </w:pPr>
      <w:r>
        <w:t xml:space="preserve">Bu belge planlanan araştırmanın ilk birleşik taslağıdır. Prototip ve deneyler henüz yapılmamıştır. Deney yeri belli değildir; açık bilgiler son bölümde toplanmıştır.</w:t>
      </w:r>
    </w:p>
    <w:bookmarkStart w:id="20"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Resmî proje süresi</w:t>
            </w:r>
          </w:p>
        </w:tc>
        <w:tc>
          <w:tcPr>
            <w:tcW w:type="dxa" w:w="7257"/>
            <w:vAlign w:val="top"/>
          </w:tcPr>
          <w:p>
            <w:pPr>
              <w:pStyle w:val="Compact"/>
              <w:spacing w:after="60" w:line="252" w:lineRule="auto"/>
              <w:jc w:val="left"/>
            </w:pPr>
            <w:r>
              <w:rPr>
                <w:sz w:val="19"/>
              </w:rPr>
              <w:t xml:space="preserve">Henüz belirlenmedi.</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0"/>
    <w:bookmarkStart w:id="21"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ile iki yan yönünde yerleştirilecek beş sabit mesafe sensörü üzerine kurulacaktır. Kullanıcı, bilgisayar öncelikli ve telefondan erişimi de hedeflenen arayüzde yerel koordinatlarla ara rota noktaları belirleyecektir. Enkoder geri bildirimiyle göreli konum kestirimi ve mesafe ölçümlerine dayalı kaçınma davranışı bütünleştirilecektir. Kaçınma için Bug 2 mantığından yararlanan bir durum makinesi, taslak yöntem olarak değerlendirilmektedir.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Aracın hareketinin bağımsız değerlendirilmesinde, mevcut telefonla sabit görüntü kaydı ve kalibrasyon düzeni kurulması planlanmaktadır.</w:t>
      </w:r>
    </w:p>
    <w:p>
      <w:pPr>
        <w:pStyle w:val="BodyText"/>
      </w:pPr>
      <w:r>
        <w:t xml:space="preserve">Çalışma;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1"/>
    <w:bookmarkStart w:id="24" w:name="bilimsel-nitelik"/>
    <w:p>
      <w:pPr>
        <w:pStyle w:val="Heading2"/>
        <w:pageBreakBefore/>
      </w:pPr>
      <w:r>
        <w:t xml:space="preserve">1. Bilimsel nitelik</w:t>
      </w:r>
    </w:p>
    <w:bookmarkStart w:id="22"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Engelden kaçınmaya ilişkin deneysel bir uygulamada Alajlan vd. (2017), FEZ Cerbot platformunda kızılötesi sensörler, ultrasonik sensör ve araç üzeri kamerayı birleştirerek sabit ve kısmen dinamik engelli senaryoları incelemiştir. Bu çalışma, algılama kapsamının ve birden çok sensörden gelen bilginin hareket kararlarıyla birlikte ele alınmasına örnektir. Önerilen projede beş sabit mesafe sensörüyle sınırlı algılama düzeni ve sabit engeller üzerinde çalışılacak; mevcut telefon araç üzerinde engel algılayan kamera olarak değil, hareketi bağımsız değerlendiren ölçüm aracı olarak planlanacaktır. Anılan çalışmanın yol/enerji performansı ve farklı algılama altyapısı bu araca aktarılmış sonuç olarak kullanılmayacaktır.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Bu projede ele alınacak problem, kullanıcı tarafından belirlenen waypoint rotasında ilerleyen mikrodenetleyici tabanlı bir kara aracının, farklı yerleşimlerdeki sabit engelleri algılayarak çarpışmasız kaçınma hareketi gerçekleştirmesi ve ardından rotasına yeniden katılmasıdır. Çalışma, düz zeminde yaklaşık 3 × 3 metre olarak planlanan kontrollü bir deney alanıyla sınırlandırılacaktır. Rota, bilgisayar öncelikli ve telefondan erişimi de hedeflenen kullanıcı arayüzündeki ölçülü kareli alan üzerinde tanımlanacaktır. Deneylerde engellerin yerleşimleri değiştirilecek; algılama, çarpışmasız kaçınma, rotaya dönüş ve görev tamamlama davranışları ayrı ayrı değerlendirilecektir.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2"/>
    <w:bookmarkStart w:id="23"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Tekrar sayısı ve koşul başına ana başarı hedefi yürütücü tarafından uygun bulunmuştur. Kesin toleranslar, süre sınırı ve ek başarı eşikleri; ölçüm düzeni, donanımın uygulanabilirliği ve danışman değerlendirmesiyle sonlandırılacaktır. Bu hedefler gelecekte yapılacak çalışmaya aittir.</w:t>
      </w:r>
    </w:p>
    <w:bookmarkEnd w:id="23"/>
    <w:bookmarkEnd w:id="24"/>
    <w:bookmarkStart w:id="42" w:name="yöntem"/>
    <w:p>
      <w:pPr>
        <w:pStyle w:val="Heading2"/>
        <w:pageBreakBefore/>
      </w:pPr>
      <w:r>
        <w:t xml:space="preserve">2. Yöntem</w:t>
      </w:r>
    </w:p>
    <w:bookmarkStart w:id="25"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konumu/yönü, referans rota, zemin, hız ayarı ve kontrol parametreleri koşullar arasında aynı tutulmaya çalışılacaktır. Pil gerilimi, aydınlatma ve kontrol edilemeyen değişimler kayıt altına alınacaktır. İlk deney alanı düz zeminde yaklaşık 3 × 3 metre olarak planlanmaktadır. Alanın fiziksel yeri henüz belirlenmemiş olup şasi ve geçiş açıklıkları seçildikten sonra geometrik yeterliliği kontrol edilecektir.</w:t>
      </w:r>
    </w:p>
    <w:bookmarkEnd w:id="25"/>
    <w:bookmarkStart w:id="29"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yönünde beş sabit mesafe sensörü kullanılacaktır. Sensör modeli, montaj yüksekliği ve açıları; ölçüm aralığı, yüzey davranışı, güncelleme hızı ve kaçınmanın gerektirdiği kapsama göre seçilecektir. Sensör sayısı kesintisiz çevre taraması sağlandığı anlamına gelmez; gerçek kapsama düzenekte kontrol edilecektir. Motor, sürücü, batarya ve regülasyon bileşenleri elektriksel ve mekanik uyum birlikte değerlendirilerek belirlenecektir.</w:t>
      </w:r>
    </w:p>
    <w:p>
      <w:pPr>
        <w:pStyle w:val="BodyText"/>
        <w:keepNext/>
        <w:spacing w:after="40"/>
        <w:jc w:val="center"/>
      </w:pPr>
      <w:r>
        <w:drawing>
          <wp:inline>
            <wp:extent cx="6048000" cy="4031999"/>
            <wp:effectExtent b="0" l="0" r="0" t="0"/>
            <wp:docPr descr="Şekil 1 — Sistem mimarisi" title="" id="27" name="Picture"/>
            <a:graphic>
              <a:graphicData uri="http://schemas.openxmlformats.org/drawingml/2006/picture">
                <pic:pic>
                  <pic:nvPicPr>
                    <pic:cNvPr descr="gorseller/sekil_1_sistem_mimarisi.png" id="28" name="Picture"/>
                    <pic:cNvPicPr>
                      <a:picLocks noChangeArrowheads="1" noChangeAspect="1"/>
                    </pic:cNvPicPr>
                  </pic:nvPicPr>
                  <pic:blipFill>
                    <a:blip r:embed="rId2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29"/>
    <w:bookmarkStart w:id="30"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0"/>
    <w:bookmarkStart w:id="34" w:name="engel-kaçınma-ve-rotaya-yeniden-katılma"/>
    <w:p>
      <w:pPr>
        <w:pStyle w:val="Heading3"/>
      </w:pPr>
      <w:r>
        <w:t xml:space="preserve">2.4. Engel kaçınma ve rotaya yeniden katılma</w:t>
      </w:r>
    </w:p>
    <w:p>
      <w:pPr>
        <w:pStyle w:val="FirstParagraph"/>
      </w:pPr>
      <w:r>
        <w:t xml:space="preserve">Algoritma adayı, Bug 2 yaklaşımının rota izleme, engel çevresini takip etme ve hedef doğrultusuna yeniden katılma mantığını durum makinesiyle uygulamaktır (Hauser, t.y.-a). Her iki ardışık waypoint arasında bir başlangıç–hedef doğrultusu tanımlanacaktır. Engel tespit edildiğinde araç, algılama ve durma mesafesine uygun biçimde yavaşlatılacak veya durdurulacak; temas gerçekleşmeden kaçınma durumuna geçilecektir. Yerel mesafe ölçümlerine göre engel çevresi izlenirken seçilen izleme yönü ve açıklık korunmaya çalışılacaktır.</w:t>
      </w:r>
    </w:p>
    <w:p>
      <w:pPr>
        <w:pStyle w:val="BodyText"/>
      </w:pPr>
      <w:r>
        <w:t xml:space="preserve">Arayüzden yüklenen waypoint sırası korunacaktır. Engel görüldüğünde etkin hedef değiştirilmeden kaçınmaya başlama konumu ve hedefe uzaklık kaydedilecektir. Araç kaçınma sırasında en yakın waypoint’e atlatılmayacak; etkin hedefe tolerans içinde erişmeden sonraki waypoint’e geçilmeyecektir. Başlangıç konumu/yönü işaretli referansa göre kurulacak ve her deneme için enkoder başlangıcı kaydedilecektir.</w:t>
      </w:r>
    </w:p>
    <w:p>
      <w:pPr>
        <w:pStyle w:val="BodyText"/>
      </w:pPr>
      <w:r>
        <w:t xml:space="preserve">Rotaya katılma için aracın aktif</w:t>
      </w:r>
      <w:r>
        <w:t xml:space="preserve"> </w:t>
      </w:r>
      <w:r>
        <w:rPr>
          <w:b/>
          <w:bCs/>
        </w:rPr>
        <w:t xml:space="preserve">sonlu rota parçasına</w:t>
      </w:r>
      <w:r>
        <w:t xml:space="preserve"> </w:t>
      </w:r>
      <w:r>
        <w:t xml:space="preserve">belirlenen tolerans içinde ulaşması, hedefe uzaklığının kaçınmaya başladığı noktaya göre ölçüm belirsizliğinden büyük bir payla azalması, engelin geride bırakılması ve gövde için ilerleme açıklığının yeterli olması birlikte değerlendirilecektir. Kaçınma boyunca seçilen kenar izleme yönü, geçiş kuralı olmadan sürekli değiştirilerek salınım oluşturmayacaktır. Rota çizgisinin bir kez kesilmesi yeterli sayılmayacak; katılma bandında kalma ve hedef yönünde ilerlemeyi sürdürme kontrol edilecektir. Kesin açıklık, süre ve ilerleme payları kalibrasyondan önce ölçülmüş değer gibi yazılmayacaktır.</w:t>
      </w:r>
    </w:p>
    <w:p>
      <w:pPr>
        <w:pStyle w:val="BodyText"/>
      </w:pPr>
      <w:r>
        <w:t xml:space="preserve">Bu uygulama, Bug 2 mantığından yararlanan gerçek araç uyarlamasıdır; ideal algoritmanın eksiksiz uygulandığı veya teorik tamlık garantisinin sağlandığı iddia edilmeyecektir. Aynı bölgede ilerleyememe, döngü şüphesi, geçersiz sensör verisi, alan sınırına yaklaşma veya süre sınırının aşılması durumlarında deneme durdurulup nedeni kaydedilecektir. Durdurma kaydı</w:t>
      </w:r>
      <w:r>
        <w:t xml:space="preserve"> </w:t>
      </w:r>
      <w:r>
        <w:t xml:space="preserve">“</w:t>
      </w:r>
      <w:r>
        <w:t xml:space="preserve">bu düzenekte tamamlanamadı</w:t>
      </w:r>
      <w:r>
        <w:t xml:space="preserve">”</w:t>
      </w:r>
      <w:r>
        <w:t xml:space="preserve"> </w:t>
      </w:r>
      <w:r>
        <w:t xml:space="preserve">anlamındadır; ortamda hiçbir geçerli yol bulunmadığının kanıtı sayılmayacaktır. Gerçek aracın genişliği, dönüş kabiliyeti, kısıtlı sensör kapsaması ve konum hatası tasarımda dikkate alınacaktır.</w:t>
      </w:r>
    </w:p>
    <w:p>
      <w:pPr>
        <w:pStyle w:val="BodyText"/>
        <w:keepNext/>
        <w:spacing w:after="40"/>
        <w:jc w:val="center"/>
      </w:pPr>
      <w:r>
        <w:drawing>
          <wp:inline>
            <wp:extent cx="5070608" cy="6336000"/>
            <wp:effectExtent b="0" l="0" r="0" t="0"/>
            <wp:docPr descr="Şekil 2 — Kontrol akışı" title="" id="32" name="Picture"/>
            <a:graphic>
              <a:graphicData uri="http://schemas.openxmlformats.org/drawingml/2006/picture">
                <pic:pic>
                  <pic:nvPicPr>
                    <pic:cNvPr descr="gorseller/sekil_2_calisma_akisi.png" id="33" name="Picture"/>
                    <pic:cNvPicPr>
                      <a:picLocks noChangeArrowheads="1" noChangeAspect="1"/>
                    </pic:cNvPicPr>
                  </pic:nvPicPr>
                  <pic:blipFill>
                    <a:blip r:embed="rId31"/>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4"/>
    <w:bookmarkStart w:id="38"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Koşulların 10 blokta uygulanması, her blokta dört koşulun birer kez ve önceden rastgeleleştirilmiş sırayla yürütülmesi önerilmektedir. Böylece koşulların yalnızca pilin belirli bir durumuna veya tek bir uygulama sırasına denk gelmesi azaltılacaktır. Nihai rota, engel koordinatları ve geçiş açıklıkları araç geometrisiyle birlikte sonlandırılacaktır. L biçimli 3 metre rota, mevcut protokolde başlangıç önerisidir.</w:t>
      </w:r>
    </w:p>
    <w:p>
      <w:pPr>
        <w:pStyle w:val="BodyText"/>
        <w:keepNext/>
        <w:spacing w:after="40"/>
        <w:jc w:val="center"/>
      </w:pPr>
      <w:r>
        <w:drawing>
          <wp:inline>
            <wp:extent cx="6048000" cy="4031999"/>
            <wp:effectExtent b="0" l="0" r="0" t="0"/>
            <wp:docPr descr="Şekil 3 — Deney düzeni" title="" id="36" name="Picture"/>
            <a:graphic>
              <a:graphicData uri="http://schemas.openxmlformats.org/drawingml/2006/picture">
                <pic:pic>
                  <pic:nvPicPr>
                    <pic:cNvPr descr="gorseller/sekil_3_deney_alani.png" id="37" name="Picture"/>
                    <pic:cNvPicPr>
                      <a:picLocks noChangeArrowheads="1" noChangeAspect="1"/>
                    </pic:cNvPicPr>
                  </pic:nvPicPr>
                  <pic:blipFill>
                    <a:blip r:embed="rId35"/>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8"/>
    <w:bookmarkStart w:id="39" w:name="bağımsız-ölçüm-ve-başarı-tanımı"/>
    <w:p>
      <w:pPr>
        <w:pStyle w:val="Heading3"/>
      </w:pPr>
      <w:r>
        <w:t xml:space="preserve">2.6. Bağımsız ölçüm ve başarı tanımı</w:t>
      </w:r>
    </w:p>
    <w:p>
      <w:pPr>
        <w:pStyle w:val="FirstParagraph"/>
      </w:pPr>
      <w:r>
        <w:t xml:space="preserve">Aracın hareketi, mevcut telefonla sabit görüntü kaydı üzerinden bağımsız olarak değerlendirilecektir. Bu düzenek henüz kurulmamıştır; tüm alanın görülmesi, sabitleme, görüntü–metre dönüşümü, lens bozulması ve izleme işaretinin yüksekliğine bağlı perspektif hatası kontrol edilecektir. Kalibrasyonda kullanılmayan kontrol noktalarıyla ölçüm doğruluğu değerlendirilecektir. Güvenilir referansla kalibrasyon gereksinimi, Hauser’in (t.y.-b) yaklaşımıyla uyumludur. Rota hatası aracın kendi konum tahmininin yine kendisiyle karşılaştırılmasıyla doğrulanmayacaktır.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Waypoint toleransı, rotaya dönüş bandı ve süre sınırı, ölçüm duyarlılığı ve donanım davranışıyla gerekçelendirilecektir. Mevcut çalışma notlarındaki 10 cm bant ve 120 saniye sınırı henüz seçilmiş değerler değildir. Bu değerler ile ek hedefler başvuru metni sonlandırılmadan önce değerlendirilecektir.</w:t>
      </w:r>
    </w:p>
    <w:bookmarkEnd w:id="39"/>
    <w:bookmarkStart w:id="40" w:name="veri-analizi-ve-başarısız-denemeler"/>
    <w:p>
      <w:pPr>
        <w:pStyle w:val="Heading3"/>
      </w:pPr>
      <w:r>
        <w:t xml:space="preserve">2.7. Veri analizi ve başarısız denemeler</w:t>
      </w:r>
    </w:p>
    <w:p>
      <w:pPr>
        <w:pStyle w:val="FirstParagraph"/>
      </w:pPr>
      <w:r>
        <w:t xml:space="preserve">Her koşul için başarı oranları, ilgili aşamada başarılı deneme sayısının o koşuldaki tüm geçerli denemelere bölünmesiyle hesaplanacaktır. Birleşik görev hedefi her engelli koşul için ayrı aranacak; yalnız toplam engelli başarı oranının yeterli görünmesi, bir koşuldaki yetersizliği gizlemeyecektir. Engelsiz koşulda yanlış engel uyarıları ayrıca sayılacaktır.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gibi geçerli başarısızlıklar paydada tutulacaktır. Yalnızca önceden tanımlanmış, araç davranışından bağımsız kayıt/düzenek hataları nedeniyle değerlendirilemeyen denemeler gerekçeleriyle ayrılabilecektir. Yazılım veya donanım değişirse sürüm ve neden kaydedilecek; karşılaştırılan koşullar aynı son sürümle değerlendirilecektir. Bu tekrar planından bütün kullanım ortamlarına başarı veya istatistiksel anlamlılık sonucu çıkarılmayacaktır.</w:t>
      </w:r>
    </w:p>
    <w:p>
      <w:pPr>
        <w:pStyle w:val="BodyText"/>
      </w:pPr>
      <w:r>
        <w:t xml:space="preserve">Bağımsız değerlendirmede aktif rota parçası, waypoint’lere sıralı erişimin görüntüden doğrulanmasına göre belirlenecektir. Ölçülen araç referans noktasının bu sonlu parçadaki en yakın noktaya uzaklığı rota hatası olarak alınacaktır; parçanın sonsuz uzantısına uzaklık yeterli sayılmayacaktır. Geçerli ve eşit zaman aralığına getirilmiş izleme örneklerinde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bağımsız ölçülen konumun referans parçaya uzaklığı,</w:t>
      </w:r>
      <w:r>
        <w:t xml:space="preserve"> </w:t>
      </w:r>
      <m:oMath>
        <m:r>
          <m:t>N</m:t>
        </m:r>
      </m:oMath>
      <w:r>
        <w:t xml:space="preserve"> </w:t>
      </w:r>
      <w:r>
        <w:t xml:space="preserve">değerlendirilen konum örneği sayısıdır. Örnekleme aralığı ve veri kapsamı raporlanacak; kayıp görüntü aralıkları sonuç iyileştirmek için doldurulmayacaktır. Temas ve algılama olaylarının sırası zaman eşleme belirsizliği nedeniyle ayırt edilemiyorsa olay başarılı algılama diye işaretlenmeyecektir.</w:t>
      </w:r>
    </w:p>
    <w:bookmarkEnd w:id="40"/>
    <w:bookmarkStart w:id="41"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1"/>
    <w:bookmarkEnd w:id="42"/>
    <w:bookmarkStart w:id="46" w:name="proje-yönetimi"/>
    <w:p>
      <w:pPr>
        <w:pStyle w:val="Heading2"/>
        <w:pageBreakBefore/>
      </w:pPr>
      <w:r>
        <w:t xml:space="preserve">3. Proje yönetimi</w:t>
      </w:r>
    </w:p>
    <w:bookmarkStart w:id="43" w:name="çalışma-takvimi"/>
    <w:p>
      <w:pPr>
        <w:pStyle w:val="Heading3"/>
      </w:pPr>
      <w:r>
        <w:t xml:space="preserve">3.1. Çalışma takvimi</w:t>
      </w:r>
    </w:p>
    <w:p>
      <w:pPr>
        <w:pStyle w:val="FirstParagraph"/>
      </w:pPr>
      <w:r>
        <w:t xml:space="preserve">Çalışma beş iş paketinde yürütülecektir. Aşağıdaki dönemler Haziran 2027 bitirme teslim hedefine göre hazırlanmış</w:t>
      </w:r>
      <w:r>
        <w:t xml:space="preserve"> </w:t>
      </w:r>
      <w:r>
        <w:rPr>
          <w:b/>
          <w:bCs/>
        </w:rPr>
        <w:t xml:space="preserve">akademik plan önerisidir</w:t>
      </w:r>
      <w:r>
        <w:t xml:space="preserve">; resmî TÜBİTAK başlangıcı veya TYBS ay aralıkları değildir. Başvuruya girilecek toplam ay sayısı ve resmî iş paketi aralıkları başvuru öncesinde belirlenecektir. Her iş paketinin uygulama sorumlusu Ahmet Talha Arslan’dır.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Akademik hedef dönemi</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Kasım–Aralık 2026; donanıma erişime bağlı.</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Ocak 2027</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Şubat 2027</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Mart–Nisan 2027</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seçilen 40 deneme, koşul başına ana başarı hedefi ve başarısızlıklar dahil değerlendirme.</w:t>
            </w:r>
          </w:p>
        </w:tc>
        <w:tc>
          <w:tcPr>
            <w:tcW w:type="dxa" w:w="2608"/>
            <w:vAlign w:val="top"/>
          </w:tcPr>
          <w:p>
            <w:pPr>
              <w:pStyle w:val="Compact"/>
              <w:spacing w:after="60" w:line="252" w:lineRule="auto"/>
              <w:jc w:val="left"/>
            </w:pPr>
            <w:r>
              <w:rPr>
                <w:sz w:val="19"/>
              </w:rPr>
              <w:t xml:space="preserve">Mayıs 2027</w:t>
            </w:r>
          </w:p>
        </w:tc>
        <w:tc>
          <w:tcPr>
            <w:tcW w:type="dxa" w:w="907"/>
            <w:vAlign w:val="top"/>
          </w:tcPr>
          <w:p>
            <w:pPr>
              <w:pStyle w:val="Compact"/>
              <w:spacing w:after="60" w:line="252" w:lineRule="auto"/>
              <w:jc w:val="left"/>
            </w:pPr>
            <w:r>
              <w:rPr>
                <w:sz w:val="19"/>
              </w:rPr>
              <w:t xml:space="preserve">%15</w:t>
            </w:r>
          </w:p>
        </w:tc>
      </w:tr>
    </w:tbl>
    <w:p>
      <w:pPr>
        <w:pStyle w:val="BodyText"/>
      </w:pPr>
      <w:r>
        <w:t xml:space="preserve">Katkı değerleri toplamı %100’dür; bunlar deney başarı yüzdeleri değildir. Donanım erişimi beklenirken arayüz ve yazılım hazırlığı öne alınabilecektir. Mayıs içinde deney/analiz, Haziran içinde danışman incelemesi ve bitirme teslimi hedeflenmektedir. Literatür incelemesi, malzeme alımı ve rapor hazırlığı ayrı iş paketi olarak gösterilmemiştir. Haziran teslim günü henüz belli değildir.</w:t>
      </w:r>
    </w:p>
    <w:bookmarkEnd w:id="43"/>
    <w:bookmarkStart w:id="44"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Kaynaklı fiyat, stok ve teknik uyumu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Hata nedeniyle durdurulan bir deneme başarılı kaçınma sayılmayacaktır. B planları, otonom kaçınma ve rotaya dönüşü elle yönlendirme veya yalnızca durmayla değiştirmeyecektir.</w:t>
      </w:r>
    </w:p>
    <w:bookmarkEnd w:id="44"/>
    <w:bookmarkStart w:id="45"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5"/>
    <w:bookmarkEnd w:id="46"/>
    <w:bookmarkStart w:id="47"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7"/>
    <w:bookmarkStart w:id="48" w:name="belirtmek-istenen-diğer-konular"/>
    <w:p>
      <w:pPr>
        <w:pStyle w:val="Heading2"/>
      </w:pPr>
      <w:r>
        <w:t xml:space="preserve">5. Belirtmek istenen diğer konular</w:t>
      </w:r>
    </w:p>
    <w:p>
      <w:pPr>
        <w:pStyle w:val="FirstParagraph"/>
      </w:pPr>
      <w:r>
        <w:t xml:space="preserve">Projenin ilk kapsamı düz zemindeki sabit engellerle sınırlandırılmıştır. Hareketli engeller, gerçek coğrafi harita, farklı zemin türleri ve her ortamda doğrulanmış çalışma bu deney planının hedefi değildir. Önceki yıllara ait örnek başvurular anlatım/yerleşim açısından incelenmiş; metinleri, sonuçları veya kişisel bilgileri bu öneriye aktarılmamıştır.</w:t>
      </w:r>
    </w:p>
    <w:bookmarkEnd w:id="48"/>
    <w:bookmarkStart w:id="49" w:name="ekler"/>
    <w:p>
      <w:pPr>
        <w:pStyle w:val="Heading2"/>
      </w:pPr>
      <w:r>
        <w:t xml:space="preserve">6. Ekler</w:t>
      </w:r>
    </w:p>
    <w:p>
      <w:pPr>
        <w:pStyle w:val="FirstParagraph"/>
      </w:pPr>
      <w:r>
        <w:t xml:space="preserve">Bu taslakta ayrı ölçek veya anket eki bulunmamaktadır. Üç tasarım şeması ilgili yöntem bölümlerinde yer almaktadır. Ayrıntılı deney protokolü, boş kayıt şablonu ve malzeme/fiyat kayıtları hazırlık dosyalarında tutulmaktadır; bunlar yapılmış deney sonucu değildir.</w:t>
      </w:r>
    </w:p>
    <w:bookmarkEnd w:id="49"/>
    <w:bookmarkStart w:id="57"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0">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1">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2">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3">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4">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5">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6">
        <w:r>
          <w:rPr>
            <w:rStyle w:val="Hyperlink"/>
          </w:rPr>
          <w:t xml:space="preserve">https://doi.org/10.3390/robotics15090171</w:t>
        </w:r>
      </w:hyperlink>
      <w:r>
        <w:t xml:space="preserve">.</w:t>
      </w:r>
    </w:p>
    <w:bookmarkEnd w:id="57"/>
    <w:bookmarkStart w:id="58" w:name="Xf464aa70f1a7e1b641d77641e8e8c98cdbde733"/>
    <w:p>
      <w:pPr>
        <w:pStyle w:val="Heading2"/>
        <w:pageBreakBefore/>
      </w:pPr>
      <w:r>
        <w:t xml:space="preserve">Son düzenlemede tamamlanacak alanlar — hazırlık notu</w:t>
      </w:r>
    </w:p>
    <w:p>
      <w:pPr>
        <w:pStyle w:val="FirstParagraph"/>
      </w:pPr>
      <w:r>
        <w:t xml:space="preserve">Bu bölüm çalışma takibi içindir; başvuru metninin bilimsel bölümüne aynen aktarılmayacaktır.</w:t>
      </w:r>
    </w:p>
    <w:p>
      <w:pPr>
        <w:pStyle w:val="Compact"/>
        <w:numPr>
          <w:ilvl w:val="0"/>
          <w:numId w:val="1003"/>
        </w:numPr>
      </w:pPr>
      <w:r>
        <w:t xml:space="preserve">Son proje başlığı ve danışmanın metin değerlendirmesi.</w:t>
      </w:r>
    </w:p>
    <w:p>
      <w:pPr>
        <w:pStyle w:val="Compact"/>
        <w:numPr>
          <w:ilvl w:val="0"/>
          <w:numId w:val="1003"/>
        </w:numPr>
      </w:pPr>
      <w:r>
        <w:t xml:space="preserve">Resmî proje süresi ve TYBS’ye uygun ay aralıkları; Haziran bitirme hedefiyle uyumu.</w:t>
      </w:r>
    </w:p>
    <w:p>
      <w:pPr>
        <w:pStyle w:val="Compact"/>
        <w:numPr>
          <w:ilvl w:val="0"/>
          <w:numId w:val="1003"/>
        </w:numPr>
      </w:pPr>
      <w:r>
        <w:t xml:space="preserve">Deney yerinin seçimi ve gerçekten kullanılacak kurum olanakları.</w:t>
      </w:r>
    </w:p>
    <w:p>
      <w:pPr>
        <w:pStyle w:val="Compact"/>
        <w:numPr>
          <w:ilvl w:val="0"/>
          <w:numId w:val="1003"/>
        </w:numPr>
      </w:pPr>
      <w:r>
        <w:t xml:space="preserve">Algoritma/ürün seçimleri, bağımsız ölçüm uygulanabilirliği ve kalan sayısal toleranslar.</w:t>
      </w:r>
    </w:p>
    <w:p>
      <w:pPr>
        <w:pStyle w:val="Compact"/>
        <w:numPr>
          <w:ilvl w:val="0"/>
          <w:numId w:val="1003"/>
        </w:numPr>
      </w:pPr>
      <w:r>
        <w:t xml:space="preserve">Türkiye teslim giderleri ve eksik kalemlerle tamamlanmış nihai TL bütçesi. Mevcut kaynaklı referans hesabı 11.986,24 TL’dir; şasi ve diğer eksikler dahil değildir, talep edilecek bütçe olarak yazılmamıştır.</w:t>
      </w:r>
    </w:p>
    <w:p>
      <w:pPr>
        <w:pStyle w:val="Compact"/>
        <w:numPr>
          <w:ilvl w:val="0"/>
          <w:numId w:val="1003"/>
        </w:numPr>
      </w:pPr>
      <w:r>
        <w:t xml:space="preserve">Özetin son metinle uyumu, atıflar, görsel etiketleri ve TYBS önizleme kontrolü.</w:t>
      </w:r>
    </w:p>
    <w:p>
      <w:pPr>
        <w:pStyle w:val="FirstParagraph"/>
      </w:pPr>
      <w:r>
        <w:t xml:space="preserve">2026 başvurusu TYBS alanlarına girilen bilgilerle oluşturulmaktadır. Bu belgenin PDF/Word sürümü birlikte inceleme içindir; ayrı bir araştırma önerisi PDF’si yükleme şartı olarak sunulmamaktadır.</w:t>
      </w:r>
    </w:p>
    <w:p>
      <w:pPr>
        <w:pStyle w:val="BodyText"/>
      </w:pPr>
      <w:r>
        <w:rPr>
          <w:b/>
          <w:bCs/>
        </w:rPr>
        <w:t xml:space="preserve">ÜYZ beyanı için hazırlık kaydı:</w:t>
      </w:r>
      <w:r>
        <w:t xml:space="preserve"> </w:t>
      </w:r>
      <w:r>
        <w:t xml:space="preserve">ChatGPT/Codex; kaynak inceleme desteği, taslakların hazırlanması/düzenlenmesi ve belge oluşturma için; image_gen üç tasarım şemasının üretilmesi için kullanılmıştır. Araç sürümü görünmüyorsa tahmin edilmeyecektir. Başvuru sistemindeki beyan alanı gerçek kullanım kapsamıyla doldurulacak; içerik yürütücü ve danışman tarafından kontrol edilecektir.</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55" Type="http://schemas.openxmlformats.org/officeDocument/2006/relationships/hyperlink" Target="https://doi.org/10.3390/buildings13092212" TargetMode="External"/><Relationship Id="rId56" Type="http://schemas.openxmlformats.org/officeDocument/2006/relationships/hyperlink" Target="https://doi.org/10.3390/robotics15090171" TargetMode="External"/><Relationship Id="rId50" Type="http://schemas.openxmlformats.org/officeDocument/2006/relationships/hyperlink" Target="https://doi.org/10.3390/robotics6020007" TargetMode="External"/><Relationship Id="rId52" Type="http://schemas.openxmlformats.org/officeDocument/2006/relationships/hyperlink" Target="https://github.com/espressif/esp-idf/blob/v5.5.1/docs/en/api-reference/protocols/esp_http_server.rst" TargetMode="External"/><Relationship Id="rId51" Type="http://schemas.openxmlformats.org/officeDocument/2006/relationships/hyperlink" Target="https://github.com/gtbook/robotics/blob/main/S52_diffdrive_actions.ipynb" TargetMode="External"/><Relationship Id="rId54" Type="http://schemas.openxmlformats.org/officeDocument/2006/relationships/hyperlink" Target="https://github.com/krishauser/RoboticSystemsBook/blob/master/Calibration.ipynb" TargetMode="External"/><Relationship Id="rId53"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3390/buildings13092212" TargetMode="External"/><Relationship Id="rId56" Type="http://schemas.openxmlformats.org/officeDocument/2006/relationships/hyperlink" Target="https://doi.org/10.3390/robotics15090171" TargetMode="External"/><Relationship Id="rId50" Type="http://schemas.openxmlformats.org/officeDocument/2006/relationships/hyperlink" Target="https://doi.org/10.3390/robotics6020007" TargetMode="External"/><Relationship Id="rId52" Type="http://schemas.openxmlformats.org/officeDocument/2006/relationships/hyperlink" Target="https://github.com/espressif/esp-idf/blob/v5.5.1/docs/en/api-reference/protocols/esp_http_server.rst" TargetMode="External"/><Relationship Id="rId51" Type="http://schemas.openxmlformats.org/officeDocument/2006/relationships/hyperlink" Target="https://github.com/gtbook/robotics/blob/main/S52_diffdrive_actions.ipynb" TargetMode="External"/><Relationship Id="rId54" Type="http://schemas.openxmlformats.org/officeDocument/2006/relationships/hyperlink" Target="https://github.com/krishauser/RoboticSystemsBook/blob/master/Calibration.ipynb" TargetMode="External"/><Relationship Id="rId53"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2026-10-21T23:07:38Z</dcterms:created>
  <dcterms:modified xsi:type="dcterms:W3CDTF">2026-10-21T23:07:39Z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