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Bdr>
          <w:top w:val="single" w:sz="5" w:space="10" w:color="203E5C"/>
        </w:pBdr>
        <w:spacing w:before="400" w:after="40"/>
        <w:jc w:val="center"/>
      </w:pPr>
      <w:r>
        <w:drawing>
          <wp:inline>
            <wp:extent cx="936000" cy="1144000"/>
            <wp:effectExtent b="0" l="0" r="0" t="0"/>
            <wp:docPr descr="TÜBİTAK logosu" title="" id="21" name="Picture"/>
            <a:graphic>
              <a:graphicData uri="http://schemas.openxmlformats.org/drawingml/2006/picture">
                <pic:pic>
                  <pic:nvPicPr>
                    <pic:cNvPr descr="belge_kaynaklari/varliklar/tubitak_logo.png" id="22" name="Picture"/>
                    <pic:cNvPicPr>
                      <a:picLocks noChangeArrowheads="1" noChangeAspect="1"/>
                    </pic:cNvPicPr>
                  </pic:nvPicPr>
                  <pic:blipFill>
                    <a:blip r:embed="rId20"/>
                    <a:stretch>
                      <a:fillRect/>
                    </a:stretch>
                  </pic:blipFill>
                  <pic:spPr bwMode="auto">
                    <a:xfrm>
                      <a:off x="0" y="0"/>
                      <a:ext cx="936000" cy="1144000"/>
                    </a:xfrm>
                    <a:prstGeom prst="rect">
                      <a:avLst/>
                    </a:prstGeom>
                    <a:noFill/>
                    <a:ln w="9525">
                      <a:noFill/>
                      <a:headEnd/>
                      <a:tailEnd/>
                    </a:ln>
                  </pic:spPr>
                </pic:pic>
              </a:graphicData>
            </a:graphic>
          </wp:inline>
        </w:drawing>
      </w:r>
    </w:p>
    <w:bookmarkStart w:id="66" w:name="tübitak-2209-a"/>
    <w:p>
      <w:pPr>
        <w:pStyle w:val="Heading1"/>
        <w:keepNext/>
        <w:spacing w:after="280" w:before="300"/>
        <w:jc w:val="center"/>
      </w:pPr>
      <w:r>
        <w:rPr>
          <w:rFonts w:ascii="Arial" w:hAnsi="Arial"/>
          <w:color w:val="203E5C"/>
          <w:sz w:val="44"/>
        </w:rPr>
        <w:t xml:space="preserve">TÜBİTAK 2209-A</w:t>
      </w:r>
    </w:p>
    <w:p>
      <w:pPr>
        <w:pStyle w:val="FirstParagraph"/>
        <w:keepNext/>
        <w:spacing w:after="280"/>
        <w:jc w:val="center"/>
      </w:pPr>
      <w:r>
        <w:rPr>
          <w:rFonts w:ascii="Arial" w:hAnsi="Arial"/>
          <w:b/>
          <w:bCs/>
          <w:color w:val="203E5C"/>
          <w:sz w:val="30"/>
        </w:rPr>
        <w:t xml:space="preserve">ÜNİVERSİTE ÖĞRENCİLERİ ARAŞTIRMA PROJELERİ DESTEKLEME PROGRAMI</w:t>
      </w:r>
    </w:p>
    <w:p>
      <w:pPr>
        <w:pStyle w:val="BodyText"/>
        <w:keepNext/>
        <w:spacing w:after="280" w:before="360"/>
        <w:jc w:val="center"/>
      </w:pPr>
      <w:r>
        <w:rPr>
          <w:rFonts w:ascii="Arial" w:hAnsi="Arial"/>
          <w:b/>
          <w:bCs/>
          <w:color w:val="203E5C"/>
          <w:sz w:val="38"/>
        </w:rPr>
        <w:t xml:space="preserve">ARAŞTIRMA ÖNERİSİ</w:t>
      </w:r>
    </w:p>
    <w:p>
      <w:pPr>
        <w:pStyle w:val="BodyText"/>
        <w:keepNext/>
        <w:spacing w:after="560" w:before="600"/>
        <w:jc w:val="center"/>
      </w:pPr>
      <w:r>
        <w:rPr>
          <w:rFonts w:ascii="Arial" w:hAnsi="Arial"/>
          <w:b/>
          <w:bCs/>
          <w:color w:val="203E5C"/>
          <w:sz w:val="28"/>
        </w:rPr>
        <w:t xml:space="preserve">Kullanıcı tanımlı rotada sabit engelden kaçınma ve rotaya yeniden katılma: küçük ölçekli bir kara aracında deneysel değerlendirme</w:t>
      </w:r>
    </w:p>
    <w:p>
      <w:pPr>
        <w:pStyle w:val="BodyText"/>
        <w:keepNext/>
        <w:spacing w:after="280"/>
        <w:jc w:val="center"/>
      </w:pPr>
      <w:r>
        <w:rPr>
          <w:rFonts w:ascii="Arial" w:hAnsi="Arial"/>
          <w:b/>
          <w:bCs/>
          <w:color w:val="203E5C"/>
        </w:rPr>
        <w:t xml:space="preserve">Proje yürütücüsü</w:t>
      </w:r>
      <w:r>
        <w:rPr>
          <w:rFonts w:ascii="Arial" w:hAnsi="Arial"/>
          <w:color w:val="203E5C"/>
        </w:rPr>
        <w:br/>
      </w:r>
      <w:r>
        <w:rPr>
          <w:rFonts w:ascii="Arial" w:hAnsi="Arial"/>
          <w:color w:val="203E5C"/>
        </w:rPr>
        <w:t xml:space="preserve">Ahmet Talha Arslan</w:t>
      </w:r>
    </w:p>
    <w:p>
      <w:pPr>
        <w:pStyle w:val="BodyText"/>
        <w:keepNext/>
        <w:spacing w:after="280"/>
        <w:jc w:val="center"/>
      </w:pPr>
      <w:r>
        <w:rPr>
          <w:rFonts w:ascii="Arial" w:hAnsi="Arial"/>
          <w:b/>
          <w:bCs/>
          <w:color w:val="203E5C"/>
        </w:rPr>
        <w:t xml:space="preserve">Akademik danışman</w:t>
      </w:r>
      <w:r>
        <w:rPr>
          <w:rFonts w:ascii="Arial" w:hAnsi="Arial"/>
          <w:color w:val="203E5C"/>
        </w:rPr>
        <w:br/>
      </w:r>
      <w:r>
        <w:rPr>
          <w:rFonts w:ascii="Arial" w:hAnsi="Arial"/>
          <w:color w:val="203E5C"/>
        </w:rPr>
        <w:t xml:space="preserve">Prof. Dr. Murat Ceylan</w:t>
      </w:r>
    </w:p>
    <w:p>
      <w:pPr>
        <w:pStyle w:val="BodyText"/>
        <w:keepNext/>
        <w:spacing w:after="280"/>
        <w:jc w:val="center"/>
      </w:pPr>
      <w:r>
        <w:rPr>
          <w:rFonts w:ascii="Arial" w:hAnsi="Arial"/>
          <w:b/>
          <w:bCs/>
          <w:color w:val="203E5C"/>
        </w:rPr>
        <w:t xml:space="preserve">Konya Teknik Üniversitesi</w:t>
      </w:r>
      <w:r>
        <w:rPr>
          <w:rFonts w:ascii="Arial" w:hAnsi="Arial"/>
          <w:color w:val="203E5C"/>
        </w:rPr>
        <w:br/>
      </w:r>
      <w:r>
        <w:rPr>
          <w:rFonts w:ascii="Arial" w:hAnsi="Arial"/>
          <w:color w:val="203E5C"/>
        </w:rPr>
        <w:t xml:space="preserve">Elektrik-Elektronik Mühendisliği</w:t>
      </w:r>
    </w:p>
    <w:p>
      <w:pPr>
        <w:pStyle w:val="BodyText"/>
        <w:keepNext w:val="0"/>
        <w:spacing w:after="280" w:before="600"/>
        <w:jc w:val="center"/>
        <w:pBdr>
          <w:bottom w:val="single" w:sz="5" w:space="10" w:color="CBD7E0"/>
        </w:pBdr>
      </w:pPr>
      <w:r>
        <w:rPr>
          <w:rFonts w:ascii="Arial" w:hAnsi="Arial"/>
          <w:b/>
          <w:bCs/>
          <w:color w:val="203E5C"/>
          <w:sz w:val="28"/>
        </w:rPr>
        <w:t xml:space="preserve">2026 YILI</w:t>
      </w:r>
    </w:p>
    <w:bookmarkStart w:id="23"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tanımlı rotada sabit engelden kaçınma ve rotaya yeniden katılma: küçük ölçekli bir kara aracında deneysel değerlendirme</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3"/>
    <w:bookmarkStart w:id="24" w:name="özet"/>
    <w:p>
      <w:pPr>
        <w:pStyle w:val="Heading2"/>
      </w:pPr>
      <w:r>
        <w:t xml:space="preserve">ÖZET</w:t>
      </w:r>
    </w:p>
    <w:tbl>
      <w:tblPr>
        <w:tblStyle w:val="TableGrid"/>
        <w:tblW w:type="auto" w:w="0"/>
        <w:tblLayout w:type="fixed"/>
        <w:tblLook w:firstColumn="1" w:firstRow="1" w:lastColumn="0" w:lastRow="0" w:noHBand="0" w:noVBand="1" w:val="04A0"/>
        <w:tblBorders>
          <w:top w:val="single" w:sz="4" w:color="879CAE"/>
          <w:left w:val="single" w:sz="4" w:color="879CAE"/>
          <w:bottom w:val="single" w:sz="4" w:color="879CAE"/>
          <w:right w:val="single" w:sz="4" w:color="879CAE"/>
          <w:insideH w:val="single" w:sz="4" w:color="879CAE"/>
          <w:insideV w:val="single" w:sz="4" w:color="879CAE"/>
        </w:tblBorders>
      </w:tblPr>
      <w:tblGrid>
        <w:gridCol w:w="9638"/>
      </w:tblGrid>
      <w:tr>
        <w:trPr>
          <w:cantSplit/>
        </w:trPr>
        <w:tc>
          <w:tcPr>
            <w:tcW w:type="dxa" w:w="9638"/>
            <w:vAlign w:val="top"/>
          </w:tcPr>
          <w:p>
            <w:pPr>
              <w:pStyle w:val="FirstParagraph"/>
              <w:spacing w:after="60" w:line="252" w:lineRule="auto"/>
            </w:pPr>
            <w:r>
              <w:rPr>
                <w:sz w:val="20"/>
              </w:rP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spacing w:after="60" w:line="252" w:lineRule="auto"/>
            </w:pPr>
            <w:r>
              <w:rPr>
                <w:sz w:val="20"/>
              </w:rPr>
              <w:t xml:space="preserve">Sistem; ESP32 kontrol birimi,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spacing w:after="60" w:line="252" w:lineRule="auto"/>
            </w:pPr>
            <w:r>
              <w:rPr>
                <w:sz w:val="20"/>
              </w:rP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güven aralıklarıyla, tamamlanma süreleri ve rota izleme hatalarıyla birlikte raporlanacaktır. Ön çalışmada altı sentetik senaryoyla durum makinesinin geçiş ve durdurma mantığı kontrol edilmiştir.</w:t>
            </w:r>
          </w:p>
          <w:p>
            <w:pPr>
              <w:pStyle w:val="BodyText"/>
              <w:spacing w:after="60" w:line="252" w:lineRule="auto"/>
            </w:pPr>
            <w:r>
              <w:rPr>
                <w:sz w:val="20"/>
              </w:rPr>
              <w:t xml:space="preserve">Altı aylık çalışma, donanım ve kalibrasyon, arayüz, rota takibi, engelden kaçınma ile deney, analiz ve raporlamadan oluşan beş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spacing w:after="60" w:line="252" w:lineRule="auto"/>
            </w:pPr>
            <w:r>
              <w:rPr>
                <w:b/>
                <w:bCs/>
                <w:sz w:val="20"/>
              </w:rPr>
              <w:t xml:space="preserve">Anahtar kelimeler:</w:t>
            </w:r>
            <w:r>
              <w:rPr>
                <w:sz w:val="20"/>
              </w:rPr>
              <w:t xml:space="preserve"> </w:t>
            </w:r>
            <w:r>
              <w:rPr>
                <w:sz w:val="20"/>
              </w:rPr>
              <w:t xml:space="preserve">Otonom kara aracı, rota takibi, engelden kaçınma, enkoder, gömülü kontrol.</w:t>
            </w:r>
          </w:p>
        </w:tc>
      </w:tr>
    </w:tbl>
    <w:bookmarkEnd w:id="24"/>
    <w:bookmarkStart w:id="27" w:name="araştirma-önerisinin-bilimsel-niteliği"/>
    <w:p>
      <w:pPr>
        <w:pStyle w:val="Heading2"/>
      </w:pPr>
      <w:r>
        <w:t xml:space="preserve">1. ARAŞTIRMA ÖNERİSİNİN BİLİMSEL NİTELİĞİ</w:t>
      </w:r>
    </w:p>
    <w:bookmarkStart w:id="25" w:name="X2d024c15c071b3cb5d3e99d34387eb7593d965e"/>
    <w:p>
      <w:pPr>
        <w:pStyle w:val="Heading3"/>
      </w:pPr>
      <w:r>
        <w:t xml:space="preserve">1.1. Konunun önemi ve araştırma önerisinin bilimsel niteliği</w:t>
      </w:r>
    </w:p>
    <w:p>
      <w:pPr>
        <w:pStyle w:val="FirstParagraph"/>
      </w:pPr>
      <w:r>
        <w:rPr>
          <w:b/>
          <w:bCs/>
        </w:rPr>
        <w:t xml:space="preserve">Konunun önemi ve ele alınan problem</w:t>
      </w:r>
    </w:p>
    <w:p>
      <w:pPr>
        <w:pStyle w:val="BodyText"/>
      </w:pPr>
      <w:r>
        <w:t xml:space="preserve">Kullanıcının bir arayüzde çizdiği rotanın gerçek bir araç tarafından izlenebilmesi için konum hesabı, motor kontrolü ve çevrenin algılanması birlikte çalışmalıdır. Araç rota üzerinde bir engelle karşılaştığında yalnızca durması görevi tamamlamaya yetmez. Engeli algılayıp uygun bir yönden dolaşması ve kullanıcı tarafından belirlenen rota üzerindeki görevine devam etmesi gerekir. Bu proje, söz konusu davranışı küçük ölçekli bir kara aracı üzerinde geliştirmeye ve kontrollü deneylerle değerlendirmeye odaklanmaktadır.</w:t>
      </w:r>
    </w:p>
    <w:p>
      <w:pPr>
        <w:pStyle w:val="BodyText"/>
      </w:pPr>
      <w:r>
        <w:t xml:space="preserve">İki tekerleği bağımsız sürülen araçlarda, tekerlek hareketleri kullanılarak aracın doğrusal hareketi ve yönelimi hesaplanabilir (Corke, 2017). Bununla birlikte tekerlek kayması ve dönüşlerdeki hatalar konum hesabını etkileyebilir. Yerel mesafe bilgisiyle çalışan Bug türü yöntemler ise tüm engellerin haritası önceden bilinmeden hedefe ilerleme ve engel çevresini izleme davranışlarını ele almaktadır. Bu yöntemlerin fiziksel bir araçta uygulanmasında araç boyutu, algılama kapsamı ve konum hatası dikkate alınmalıdır (Lumelsky ve Stepanov, 1987; Corke, 2017).</w:t>
      </w:r>
    </w:p>
    <w:p>
      <w:pPr>
        <w:pStyle w:val="BodyText"/>
      </w:pPr>
      <w:r>
        <w:t xml:space="preserve">Depo ve lojistikte kullanılan mobil araçlarda, tanımlı bir görevin engel sonrasında sürdürülebilmesi önemli bir işlevdir. Bu çalışma, aynı problemi küçük ölçekli bir prototipte ele alarak gömülü kontrol ve mobil robotik eğitiminde kullanılabilecek, deneyleri tekrarlanabilir bir platform oluşturmayı hedeflemektedir. Elde edilecek bulgular, kontrollü derslik koşulları için yorumlanacaktır.</w:t>
      </w:r>
    </w:p>
    <w:p>
      <w:pPr>
        <w:pStyle w:val="BodyText"/>
      </w:pPr>
      <w:r>
        <w:rPr>
          <w:b/>
          <w:bCs/>
        </w:rPr>
        <w:t xml:space="preserve">İlgili çalışmalar ve projenin yaklaşımı</w:t>
      </w:r>
    </w:p>
    <w:p>
      <w:pPr>
        <w:pStyle w:val="BodyText"/>
      </w:pPr>
      <w:r>
        <w:t xml:space="preserve">Alajlan vd. (2017), farklı sensörlerden gelen bilgiyi birleştirerek mobil bir robotun engelli ortamdaki hareketini incelemiştir. Bu çalışma, engel algılama ile hareket kararlarının birlikte tasarlanması açısından yol göstericidir. Önerilen projede beş sabit mesafe sensörüyle sabit engeller üzerinde çalışılacaktır. Telefon kamerası ise aracın engel algılayıcısı olarak değil, deneylerde hareketi bağımsız ölçmek için kullanılacaktır.</w:t>
      </w:r>
    </w:p>
    <w:p>
      <w:pPr>
        <w:pStyle w:val="BodyText"/>
      </w:pPr>
      <w:r>
        <w:t xml:space="preserve">Iqbal vd. (2023), koordinatların bir uygulamadan ESP32 tabanlı mobil robota aktarılmasını içeren bir sistem sunmuştur. Rodrigues vd. (2026), enkoderler, dış kamera temelli konum bilgisi ve ESP32 kontrol katmanını içeren küçük bir robotta yörünge takibini değerlendirmiştir. Bu çalışmalar, rota bilgisinin aktarılması ve hareket kontrolünün kurulması için örnek oluşturmaktadır. Bu projede ise arayüzden verilen rota, enkoder tabanlı konum hesabı ve yerel engel algılama bir araya getirilecek; engelden sonra aynı rotaya dönme davranışı incelenecektir.</w:t>
      </w:r>
    </w:p>
    <w:p>
      <w:pPr>
        <w:pStyle w:val="BodyText"/>
      </w:pPr>
      <w:r>
        <w:rPr>
          <w:b/>
          <w:bCs/>
        </w:rPr>
        <w:t xml:space="preserve">Araştırma boşluğu</w:t>
      </w:r>
    </w:p>
    <w:p>
      <w:pPr>
        <w:pStyle w:val="BodyText"/>
      </w:pPr>
      <w:r>
        <w:t xml:space="preserve">İncelenen uygulamalarda koordinat aktarımı ve zemin işaretleme (Iqbal vd., 2023), diferansiyel sürüşlü araçta yörünge takibi (Rodrigues vd., 2026) ve çoklu sensörle engelden kaçınma (Alajlan vd., 2017) farklı görevler ve deney düzenleri üzerinden değerlendirilmektedir. Bu projenin ele aldığı araştırma boşluğu, seçilen küçük ölçekli mimaride kullanıcı tanımlı rotaya engel sonrasında yeniden katılmanın hangi aşamalarda aksadığını ve engelin yerinin bu davranışı nasıl etkilediğini açıklayan deneysel veriye duyulan ihtiyaçtır. Bu amaçla algılama, kaçınma, dönüş ve görev tamamlama aynı protokolde ayrı kaydedilecek; sonuçlar bağımsız video ölçümü ve koşul başına tekrarlı denemelerle ilişkilendirilecektir. Böylece genel görev başarısının yanında, başarısızlığın oluştuğu aşamayı gösteren bir değerlendirme sağlanacaktır.</w:t>
      </w:r>
    </w:p>
    <w:p>
      <w:pPr>
        <w:pStyle w:val="BodyText"/>
      </w:pPr>
      <w:r>
        <w:rPr>
          <w:b/>
          <w:bCs/>
        </w:rPr>
        <w:t xml:space="preserve">Araştırma sorusu ve beklenen katkı</w:t>
      </w:r>
    </w:p>
    <w:p>
      <w:pPr>
        <w:pStyle w:val="BodyText"/>
      </w:pPr>
      <w:r>
        <w:t xml:space="preserve">Araştırma sorusu,</w:t>
      </w:r>
      <w:r>
        <w:t xml:space="preserve"> </w:t>
      </w:r>
      <w:r>
        <w:t xml:space="preserve">“</w:t>
      </w:r>
      <w:r>
        <w:t xml:space="preserve">Sabit engelin rota üzerindeki yeri, kullanıcı tanımlı waypoint rotasını izleyen bir kara aracının engeli algılama, çarpışmadan kaçınma ve rotaya yeniden katılma başarısını nasıl etkiler?</w:t>
      </w:r>
      <w:r>
        <w:t xml:space="preserve">”</w:t>
      </w:r>
      <w:r>
        <w:t xml:space="preserve"> </w:t>
      </w:r>
      <w:r>
        <w:t xml:space="preserve">biçiminde belirlenmiştir. Aynı araç ve rota kullanılarak engelin düz bölümde, dönüş öncesinde ve dönüş sonrasında bulunması karşılaştırılacaktır. Engelsiz koşul, temel rota takibini değerlendirmek için referans alınacaktır.</w:t>
      </w:r>
    </w:p>
    <w:p>
      <w:pPr>
        <w:pStyle w:val="BodyText"/>
      </w:pPr>
      <w:r>
        <w:rPr>
          <w:b/>
          <w:bCs/>
        </w:rPr>
        <w:t xml:space="preserve">Hipotez H1:</w:t>
      </w:r>
      <w:r>
        <w:t xml:space="preserve"> </w:t>
      </w:r>
      <w:r>
        <w:t xml:space="preserve">Planlanan geometride engelin rota üzerindeki uzak kenarı ile sıradaki waypoint arasındaki mesafe K1’de 0,70 m, K2’de 0,35 m ve K3’te 0,60 m’dir. Köşe waypoint’ine yaklaşımı temsil eden K2’de kullanılabilir mesafenin daha sınırlı olması nedeniyle birleşik görev başarı oranının K1 ve K3 koşullarından düşük olması beklenmektedir. Hipotez, koşul bazlı gözlenen oranlar ve güven aralıklarıyla değerlendirilecek; sınırlı tekrar sayısıyla kesin bir genelleme yapılmayacaktır.</w:t>
      </w:r>
    </w:p>
    <w:p>
      <w:pPr>
        <w:pStyle w:val="BodyText"/>
      </w:pPr>
      <w:r>
        <w:t xml:space="preserve">Beklenen katkı, kullanıcı arayüzü ile ESP32 tabanlı hareket kontrolünü bütünleştiren bir prototipin geliştirilmesi ve başarının tek bir genel oran yerine algılama, kaçınma, rotaya dönüş ve görev tamamlama aşamalarında değerlendirilmesidir. Başarılı ve başarısız denemelerin birlikte incelenmesi, sistemin hangi koşullarda yeterli olduğunu ve hangi noktalarda geliştirme gerektirdiğini gösterecektir. Ölçümlerin güvenilir referanslarla kontrol edilmesi kalibrasyon yaklaşımına dayanmaktadır (Corke, 2017). Çalışmanın sonuçları, düz zemindeki 3 × 3 metrelik alan ve seçilen sabit engel koşullarıyla sınırlandırılacaktır.</w:t>
      </w:r>
    </w:p>
    <w:bookmarkEnd w:id="25"/>
    <w:bookmarkStart w:id="26"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ESP32’yi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6"/>
    <w:bookmarkEnd w:id="27"/>
    <w:bookmarkStart w:id="49" w:name="yöntem"/>
    <w:p>
      <w:pPr>
        <w:pStyle w:val="Heading2"/>
      </w:pPr>
      <w:r>
        <w:t xml:space="preserve">2. YÖNTEM</w:t>
      </w:r>
    </w:p>
    <w:bookmarkStart w:id="28"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ve kalibrasyon İP1, arayüz ve haberleşme İP2, konum kestirimi ve rota takibi İP3, kaçınma ve rotaya dönüş İP4 kapsamında geliştirilecektir. Bütünleşik sistemin dört koşulda değerlendirilmesi, veri analizi ve sonuçların raporlanması İP5 kapsamında yapılacaktır. Geliştirme/ayar denemeleri, nihai 40 değerlendirme denemesinden ayrı tutulacaktır.</w:t>
      </w:r>
    </w:p>
    <w:bookmarkEnd w:id="28"/>
    <w:bookmarkStart w:id="32"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ESP32, enkoderleri okuyacak, mesafe ölçümlerini işleyecek, hareket kararlarını verecek ve motorları sürecektir. Bileşenler aşağıdaki işlevsel gereksinimlerle temin edilecektir. Ticari ürün kodu yerine bu gereksinimlerin esas alınması, eşdeğer ürünlerle aynı araştırma yönteminin uygulanmasını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ESP32 geliştirme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ToF ölçümünün geçerliliği; hedef yüzeyi, ortam ışığı ve ölçüm süresine bağlı olarak kontrol edilecektir. Referans ToF bileşeninin veri sayfası, farklı yansıtıcılık ve aydınlatma koşulları için ayrı menzil ve doğruluk değerleri vermektedir (STMicroelectronics, 2024). Bu nedenle üretici tablosundaki bir değer doğrudan aracın doğruluğu kabul edilmeyecek; seçilen taşıyıcı ve deney engeli için tekrarlı mesafe kontrolleri yapılacaktır.</w:t>
      </w:r>
    </w:p>
    <w:p>
      <w:pPr>
        <w:pStyle w:val="BodyText"/>
      </w:pPr>
      <w:r>
        <w:t xml:space="preserve">Motorlar ve kontrol elektroniği ayrı güç kablo dallarından beslenecek, ortak toprak referansı kullanılacaktır. Bataryanın ham gerilimi motorlara veya ESP32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3403808"/>
            <wp:effectExtent b="0" l="0" r="0" t="0"/>
            <wp:docPr descr="Şekil 1 — Sistem mimarisi" title="" id="30" name="Picture"/>
            <a:graphic>
              <a:graphicData uri="http://schemas.openxmlformats.org/drawingml/2006/picture">
                <pic:pic>
                  <pic:nvPicPr>
                    <pic:cNvPr descr="gorseller/akademik_duzen/sekil_1_sistem_mimarisi.png" id="31" name="Picture"/>
                    <pic:cNvPicPr>
                      <a:picLocks noChangeArrowheads="1" noChangeAspect="1"/>
                    </pic:cNvPicPr>
                  </pic:nvPicPr>
                  <pic:blipFill>
                    <a:blip r:embed="rId29"/>
                    <a:stretch>
                      <a:fillRect/>
                    </a:stretch>
                  </pic:blipFill>
                  <pic:spPr bwMode="auto">
                    <a:xfrm>
                      <a:off x="0" y="0"/>
                      <a:ext cx="6048000" cy="3403808"/>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ESP32 ve motor sürme birimleri arasındaki veri akışı. ÜYZ desteğiyle hazırlanmış işlevsel tasarım şemasıdır.</w:t>
      </w:r>
    </w:p>
    <w:bookmarkEnd w:id="32"/>
    <w:bookmarkStart w:id="33"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(Corke, 2017).</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beş sensörün tam taraması en az 5 Hz ve görev telemetrisi 5 Hz olacak şekilde planlanmıştır. Sensör başına yaklaşık 33 ms ölçüm bütçesinde beşli tarama 165 ms tutacak; kanal seçimi ve veri işleme için 35 ms ayrılarak toplam tarama hedefi 200 ms olacaktır. Referans bileşende belirtilen 33 ms ölçüm bütçesi bu başlangıç planına dayanak oluşturmaktadır (STMicroelectronics, 2024). 250 ms veri yaşı sınırı, 200 ms taramaya 20 Hz denetimin bir periyodu olan 50 ms’nin eklenmesiyle belirlenmiştir. Bunlar ölçülmüş gecikmeler değil, zamanlama tasarım hedefleridir. Ölçüm başlangıcı zaman damgalanacak; veri yaşı her denetim adımında kontrol edilecektir. Eşik aşımı en geç sonraki 50 ms’lik adımda durdurmaya dönüşeceğinden, durma mesafesi hesabında 300 ms’lik toplam veri yaşı/tepki bütçesi dikkate alınacaktır.</w:t>
      </w:r>
    </w:p>
    <w:p>
      <w:pPr>
        <w:pStyle w:val="BodyText"/>
      </w:pPr>
      <w:r>
        <w:t xml:space="preserve">Sensörler ayrı kanallardan sıralı okunacaktır. Tamamlanan her sensör ölçümü, tam taramanın sonunu beklemeden denetleyiciye ayrı olarak aktarılacaktır. Üretici durum kodlarına göre ölçüm sonucu ve iletişim/ölçüm hatası ayrılacak; belirsiz veri boş yol kabul edilmeyecektir. Gerçek tarama ve tepki süreleri montaj sonrasında kaydedilecek; 200 ms tarama hedefi sağlanmadan nihai deneylere başlanmayacaktır. Tekerlek kayması ve odometrik sürüklenme bağımsız ölçümle izlenecektir.</w:t>
      </w:r>
    </w:p>
    <w:bookmarkEnd w:id="33"/>
    <w:bookmarkStart w:id="34" w:name="kullanıcı-arayüzü-ve-haberleşme"/>
    <w:p>
      <w:pPr>
        <w:pStyle w:val="Heading3"/>
      </w:pPr>
      <w:r>
        <w:t xml:space="preserve">2.4. Kullanıcı arayüzü ve haberleşme</w:t>
      </w:r>
    </w:p>
    <w:p>
      <w:pPr>
        <w:pStyle w:val="FirstParagraph"/>
      </w:pPr>
      <w:r>
        <w:t xml:space="preserve">Arayüz HTML, CSS ve JavaScript ile hazırlanacak; ESP32’nin oluşturacağı yerel Wi-Fi ağı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HTTP üzerinden araca aktarılacak; görev durumu ve komutlar WebSocket bağlantısıyla iletilecektir.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4"/>
    <w:bookmarkStart w:id="38"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(Lumelsky ve Stepanov, 1987; Corke, 2017). Temel durumlar bekleme, rota izleme, engel yaklaşımı/durma, kenar izleme, rotaya dönüş doğrulama, görev tamamlandı ve hata/durdurma olacaktır.</w:t>
      </w:r>
    </w:p>
    <w:p>
      <w:pPr>
        <w:pStyle w:val="BodyText"/>
      </w:pPr>
      <w:r>
        <w:t xml:space="preserve">Engel algılama eşiği, sensörün araç gövdesine göre ofseti, 300 ms veri yaşı/tepki bütçesinde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Çarpışma, alan sınırına çıkma, geçersiz sensör verisi, haberleşme kaybı veya 120 saniye süre aşımında görev durdurulacaktır.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6048000" cy="3782859"/>
            <wp:effectExtent b="0" l="0" r="0" t="0"/>
            <wp:docPr descr="Şekil 2 — Kontrol akışı" title="" id="36" name="Picture"/>
            <a:graphic>
              <a:graphicData uri="http://schemas.openxmlformats.org/drawingml/2006/picture">
                <pic:pic>
                  <pic:nvPicPr>
                    <pic:cNvPr descr="gorseller/akademik_duzen/sekil_2_calisma_akisi.png" id="37" name="Picture"/>
                    <pic:cNvPicPr>
                      <a:picLocks noChangeArrowheads="1" noChangeAspect="1"/>
                    </pic:cNvPicPr>
                  </pic:nvPicPr>
                  <pic:blipFill>
                    <a:blip r:embed="rId35"/>
                    <a:stretch>
                      <a:fillRect/>
                    </a:stretch>
                  </pic:blipFill>
                  <pic:spPr bwMode="auto">
                    <a:xfrm>
                      <a:off x="0" y="0"/>
                      <a:ext cx="6048000" cy="3782859"/>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8"/>
    <w:bookmarkStart w:id="42" w:name="deney-alanı-koşullar-ve-uygulama-sırası"/>
    <w:p>
      <w:pPr>
        <w:pStyle w:val="Heading3"/>
      </w:pPr>
      <w:r>
        <w:t xml:space="preserve">2.6. Deney alanı, koşullar ve uygulama sırası</w:t>
      </w:r>
    </w:p>
    <w:p>
      <w:pPr>
        <w:pStyle w:val="FirstParagraph"/>
      </w:pPr>
      <w:r>
        <w:t xml:space="preserve">Deneylerin Konya Teknik Üniversitesi Elektrik-Elektronik Mühendisliği Bölümünde kullanımına izin verilecek bir derslikte kurulacak, düz ve kuru zeminli 3 × 3 metrelik kontrollü deney alanında yürütülmesi planlanmaktadır.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5531706"/>
            <wp:effectExtent b="0" l="0" r="0" t="0"/>
            <wp:docPr descr="Şekil 3 — Deney düzeni" title="" id="40" name="Picture"/>
            <a:graphic>
              <a:graphicData uri="http://schemas.openxmlformats.org/drawingml/2006/picture">
                <pic:pic>
                  <pic:nvPicPr>
                    <pic:cNvPr descr="gorseller/akademik_duzen/sekil_3_deney_alani.png" id="41" name="Picture"/>
                    <pic:cNvPicPr>
                      <a:picLocks noChangeArrowheads="1" noChangeAspect="1"/>
                    </pic:cNvPicPr>
                  </pic:nvPicPr>
                  <pic:blipFill>
                    <a:blip r:embed="rId39"/>
                    <a:stretch>
                      <a:fillRect/>
                    </a:stretch>
                  </pic:blipFill>
                  <pic:spPr bwMode="auto">
                    <a:xfrm>
                      <a:off x="0" y="0"/>
                      <a:ext cx="6048000" cy="5531706"/>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dört deney koşulunun koordinatlara göre çizilmiş geometrisi. Kesikli çizgi A–B–C referans rotasını; gri kare, 30 × 30 cm tabanlı engeli gösterir. Koordinatlar Bölüm 2.6 ile aynıdır. Bu çizim planlanan düzeneği gösterir; deney veya simülasyon sonucu değildir.</w:t>
      </w:r>
    </w:p>
    <w:bookmarkEnd w:id="42"/>
    <w:bookmarkStart w:id="43"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Telefonun yaklaşık 3,0 m yükseklikte, optik ekseni alan merkezine yönelmiş sabit bir düzeneğe yerleştirilmesi planlanmaktadır. Gerçek montaj yüksekliği ölçülüp kaydedilecek; tüm 3 × 3 metrelik alanın ve araç işaretinin görüntülendiği kurulumda doğrulanacaktır.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Mercek bozulması ve araç üzerindeki işaretin yüksekliğinden kaynaklanan perspektif hatası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Güvenilir referanslarla ölçüm doğrulama yaklaşımı, kalibrasyon çerçevesine dayanmaktadır (Corke, 2017).</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3"/>
    <w:bookmarkStart w:id="44"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Her başarı oranı, başarılı deneme sayısı/geçerli deneme sayısı ve yüzdeyle birlikte %95 Wilson skor güven aralığıyla verilecektir (Wilson, 1927). Bu aralıklar, koşul içindeki denemelerin Bernoulli modeliyle özetlenmesine dayanacak; aynı araçta tekrardan kaynaklanabilecek bağımlılık ve koşul başına 10 denemenin getirdiği belirsizlik yorumda belirtilecektir.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4"/>
    <w:bookmarkStart w:id="48" w:name="ön-çalışma-ve-uygulanabilirlik"/>
    <w:p>
      <w:pPr>
        <w:pStyle w:val="Heading3"/>
      </w:pPr>
      <w:r>
        <w:t xml:space="preserve">2.9. Ön çalışma ve uygulanabilirlik</w:t>
      </w:r>
    </w:p>
    <w:p>
      <w:pPr>
        <w:pStyle w:val="FirstParagraph"/>
      </w:pPr>
      <w:r>
        <w:t xml:space="preserve">Durum makinesinin geçiş ve durdurma mantığı için 50 ms adımlı bir ayrık zaman benzetimi hazırlanmış ve çalıştırılmıştır. Altı sentetik senaryoda rota izleme, kaçınma, dönüş doğrulama ve hata nedeniyle durdurma davranışları kontrol edilmiştir. Girdiler kontrollü olarak üretilmiştir; araç kinematiği, tekerlek kayması ve ToF sensör fiziği bu ön çalışmada modellenmemiştir.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964"/>
        <w:gridCol w:w="4422"/>
        <w:gridCol w:w="4252"/>
      </w:tblGrid>
      <w:tr>
        <w:trPr>
          <w:tblHeader w:val="on"/>
          <w:tblHeader/>
          <w:cantSplit/>
        </w:trPr>
        <w:tc>
          <w:tcPr>
            <w:tcW w:type="dxa" w:w="964"/>
            <w:vAlign w:val="top"/>
            <w:shd w:fill="EAF1F7"/>
          </w:tcPr>
          <w:p>
            <w:pPr>
              <w:pStyle w:val="Compact"/>
              <w:spacing w:after="60" w:line="252" w:lineRule="auto"/>
              <w:jc w:val="left"/>
            </w:pPr>
            <w:r>
              <w:rPr>
                <w:b/>
                <w:sz w:val="19"/>
              </w:rPr>
              <w:t xml:space="preserve">Senaryo</w:t>
            </w:r>
          </w:p>
        </w:tc>
        <w:tc>
          <w:tcPr>
            <w:tcW w:type="dxa" w:w="4422"/>
            <w:vAlign w:val="top"/>
            <w:shd w:fill="EAF1F7"/>
          </w:tcPr>
          <w:p>
            <w:pPr>
              <w:pStyle w:val="Compact"/>
              <w:spacing w:after="60" w:line="252" w:lineRule="auto"/>
              <w:jc w:val="left"/>
            </w:pPr>
            <w:r>
              <w:rPr>
                <w:b/>
                <w:sz w:val="19"/>
              </w:rPr>
              <w:t xml:space="preserve">Sınanan davranış</w:t>
            </w:r>
          </w:p>
        </w:tc>
        <w:tc>
          <w:tcPr>
            <w:tcW w:type="dxa" w:w="4252"/>
            <w:vAlign w:val="top"/>
            <w:shd w:fill="EAF1F7"/>
          </w:tcPr>
          <w:p>
            <w:pPr>
              <w:pStyle w:val="Compact"/>
              <w:spacing w:after="60" w:line="252" w:lineRule="auto"/>
              <w:jc w:val="left"/>
            </w:pPr>
            <w:r>
              <w:rPr>
                <w:b/>
                <w:sz w:val="19"/>
              </w:rPr>
              <w:t xml:space="preserve">Çalıştırma sonucu</w:t>
            </w:r>
          </w:p>
        </w:tc>
      </w:tr>
      <w:tr>
        <w:trPr>
          <w:cantSplit/>
        </w:trPr>
        <w:tc>
          <w:tcPr>
            <w:tcW w:type="dxa" w:w="964"/>
            <w:vAlign w:val="top"/>
          </w:tcPr>
          <w:p>
            <w:pPr>
              <w:pStyle w:val="Compact"/>
              <w:spacing w:after="60" w:line="252" w:lineRule="auto"/>
              <w:jc w:val="left"/>
            </w:pPr>
            <w:r>
              <w:rPr>
                <w:sz w:val="19"/>
              </w:rPr>
              <w:t xml:space="preserve">S1</w:t>
            </w:r>
          </w:p>
        </w:tc>
        <w:tc>
          <w:tcPr>
            <w:tcW w:type="dxa" w:w="4422"/>
            <w:vAlign w:val="top"/>
          </w:tcPr>
          <w:p>
            <w:pPr>
              <w:pStyle w:val="Compact"/>
              <w:spacing w:after="60" w:line="252" w:lineRule="auto"/>
              <w:jc w:val="left"/>
            </w:pPr>
            <w:r>
              <w:rPr>
                <w:sz w:val="19"/>
              </w:rPr>
              <w:t xml:space="preserve">Engelsiz görev ve hedefte 2 saniye durma</w:t>
            </w:r>
          </w:p>
        </w:tc>
        <w:tc>
          <w:tcPr>
            <w:tcW w:type="dxa" w:w="4252"/>
            <w:vAlign w:val="top"/>
          </w:tcPr>
          <w:p>
            <w:pPr>
              <w:pStyle w:val="Compact"/>
              <w:spacing w:after="60" w:line="252" w:lineRule="auto"/>
              <w:jc w:val="left"/>
            </w:pPr>
            <w:r>
              <w:rPr>
                <w:sz w:val="19"/>
              </w:rPr>
              <w:t xml:space="preserve">Beklenen tamamlanma geçişi sağlandı.</w:t>
            </w:r>
          </w:p>
        </w:tc>
      </w:tr>
      <w:tr>
        <w:trPr>
          <w:cantSplit/>
        </w:trPr>
        <w:tc>
          <w:tcPr>
            <w:tcW w:type="dxa" w:w="964"/>
            <w:vAlign w:val="top"/>
          </w:tcPr>
          <w:p>
            <w:pPr>
              <w:pStyle w:val="Compact"/>
              <w:spacing w:after="60" w:line="252" w:lineRule="auto"/>
              <w:jc w:val="left"/>
            </w:pPr>
            <w:r>
              <w:rPr>
                <w:sz w:val="19"/>
              </w:rPr>
              <w:t xml:space="preserve">S2</w:t>
            </w:r>
          </w:p>
        </w:tc>
        <w:tc>
          <w:tcPr>
            <w:tcW w:type="dxa" w:w="4422"/>
            <w:vAlign w:val="top"/>
          </w:tcPr>
          <w:p>
            <w:pPr>
              <w:pStyle w:val="Compact"/>
              <w:spacing w:after="60" w:line="252" w:lineRule="auto"/>
              <w:jc w:val="left"/>
            </w:pPr>
            <w:r>
              <w:rPr>
                <w:sz w:val="19"/>
              </w:rPr>
              <w:t xml:space="preserve">Engel, kenar izleme ve süre/ilerleme koşullarıyla dönüş</w:t>
            </w:r>
          </w:p>
        </w:tc>
        <w:tc>
          <w:tcPr>
            <w:tcW w:type="dxa" w:w="4252"/>
            <w:vAlign w:val="top"/>
          </w:tcPr>
          <w:p>
            <w:pPr>
              <w:pStyle w:val="Compact"/>
              <w:spacing w:after="60" w:line="252" w:lineRule="auto"/>
              <w:jc w:val="left"/>
            </w:pPr>
            <w:r>
              <w:rPr>
                <w:sz w:val="19"/>
              </w:rPr>
              <w:t xml:space="preserve">Dönüş 5. saniyede doğrulandı; sentetik görev 9. saniyede tamamlandı.</w:t>
            </w:r>
          </w:p>
        </w:tc>
      </w:tr>
      <w:tr>
        <w:trPr>
          <w:cantSplit/>
        </w:trPr>
        <w:tc>
          <w:tcPr>
            <w:tcW w:type="dxa" w:w="964"/>
            <w:vAlign w:val="top"/>
          </w:tcPr>
          <w:p>
            <w:pPr>
              <w:pStyle w:val="Compact"/>
              <w:spacing w:after="60" w:line="252" w:lineRule="auto"/>
              <w:jc w:val="left"/>
            </w:pPr>
            <w:r>
              <w:rPr>
                <w:sz w:val="19"/>
              </w:rPr>
              <w:t xml:space="preserve">S3</w:t>
            </w:r>
          </w:p>
        </w:tc>
        <w:tc>
          <w:tcPr>
            <w:tcW w:type="dxa" w:w="4422"/>
            <w:vAlign w:val="top"/>
          </w:tcPr>
          <w:p>
            <w:pPr>
              <w:pStyle w:val="Compact"/>
              <w:spacing w:after="60" w:line="252" w:lineRule="auto"/>
              <w:jc w:val="left"/>
            </w:pPr>
            <w:r>
              <w:rPr>
                <w:sz w:val="19"/>
              </w:rPr>
              <w:t xml:space="preserve">Hedefe ilerleme olmadan dönüş bandına girme</w:t>
            </w:r>
          </w:p>
        </w:tc>
        <w:tc>
          <w:tcPr>
            <w:tcW w:type="dxa" w:w="4252"/>
            <w:vAlign w:val="top"/>
          </w:tcPr>
          <w:p>
            <w:pPr>
              <w:pStyle w:val="Compact"/>
              <w:spacing w:after="60" w:line="252" w:lineRule="auto"/>
              <w:jc w:val="left"/>
            </w:pPr>
            <w:r>
              <w:rPr>
                <w:sz w:val="19"/>
              </w:rPr>
              <w:t xml:space="preserve">Rota takibine erken dönüş engellendi.</w:t>
            </w:r>
          </w:p>
        </w:tc>
      </w:tr>
      <w:tr>
        <w:trPr>
          <w:cantSplit/>
        </w:trPr>
        <w:tc>
          <w:tcPr>
            <w:tcW w:type="dxa" w:w="964"/>
            <w:vAlign w:val="top"/>
          </w:tcPr>
          <w:p>
            <w:pPr>
              <w:pStyle w:val="Compact"/>
              <w:spacing w:after="60" w:line="252" w:lineRule="auto"/>
              <w:jc w:val="left"/>
            </w:pPr>
            <w:r>
              <w:rPr>
                <w:sz w:val="19"/>
              </w:rPr>
              <w:t xml:space="preserve">S4</w:t>
            </w:r>
          </w:p>
        </w:tc>
        <w:tc>
          <w:tcPr>
            <w:tcW w:type="dxa" w:w="4422"/>
            <w:vAlign w:val="top"/>
          </w:tcPr>
          <w:p>
            <w:pPr>
              <w:pStyle w:val="Compact"/>
              <w:spacing w:after="60" w:line="252" w:lineRule="auto"/>
              <w:jc w:val="left"/>
            </w:pPr>
            <w:r>
              <w:rPr>
                <w:sz w:val="19"/>
              </w:rPr>
              <w:t xml:space="preserve">Güncellenmeyen sensör zaman damgası</w:t>
            </w:r>
          </w:p>
        </w:tc>
        <w:tc>
          <w:tcPr>
            <w:tcW w:type="dxa" w:w="4252"/>
            <w:vAlign w:val="top"/>
          </w:tcPr>
          <w:p>
            <w:pPr>
              <w:pStyle w:val="Compact"/>
              <w:spacing w:after="60" w:line="252" w:lineRule="auto"/>
              <w:jc w:val="left"/>
            </w:pPr>
            <w:r>
              <w:rPr>
                <w:sz w:val="19"/>
              </w:rPr>
              <w:t xml:space="preserve">250 ms sınırının aşılmasını izleyen adımda durdurma üretildi.</w:t>
            </w:r>
          </w:p>
        </w:tc>
      </w:tr>
      <w:tr>
        <w:trPr>
          <w:cantSplit/>
        </w:trPr>
        <w:tc>
          <w:tcPr>
            <w:tcW w:type="dxa" w:w="964"/>
            <w:vAlign w:val="top"/>
          </w:tcPr>
          <w:p>
            <w:pPr>
              <w:pStyle w:val="Compact"/>
              <w:spacing w:after="60" w:line="252" w:lineRule="auto"/>
              <w:jc w:val="left"/>
            </w:pPr>
            <w:r>
              <w:rPr>
                <w:sz w:val="19"/>
              </w:rPr>
              <w:t xml:space="preserve">S5</w:t>
            </w:r>
          </w:p>
        </w:tc>
        <w:tc>
          <w:tcPr>
            <w:tcW w:type="dxa" w:w="4422"/>
            <w:vAlign w:val="top"/>
          </w:tcPr>
          <w:p>
            <w:pPr>
              <w:pStyle w:val="Compact"/>
              <w:spacing w:after="60" w:line="252" w:lineRule="auto"/>
              <w:jc w:val="left"/>
            </w:pPr>
            <w:r>
              <w:rPr>
                <w:sz w:val="19"/>
              </w:rPr>
              <w:t xml:space="preserve">Bir saniye canlılık mesajı alınamaması</w:t>
            </w:r>
          </w:p>
        </w:tc>
        <w:tc>
          <w:tcPr>
            <w:tcW w:type="dxa" w:w="4252"/>
            <w:vAlign w:val="top"/>
          </w:tcPr>
          <w:p>
            <w:pPr>
              <w:pStyle w:val="Compact"/>
              <w:spacing w:after="60" w:line="252" w:lineRule="auto"/>
              <w:jc w:val="left"/>
            </w:pPr>
            <w:r>
              <w:rPr>
                <w:sz w:val="19"/>
              </w:rPr>
              <w:t xml:space="preserve">Bağlantı kaybı nedeniyle durdurma üretildi.</w:t>
            </w:r>
          </w:p>
        </w:tc>
      </w:tr>
      <w:tr>
        <w:trPr>
          <w:cantSplit/>
        </w:trPr>
        <w:tc>
          <w:tcPr>
            <w:tcW w:type="dxa" w:w="964"/>
            <w:vAlign w:val="top"/>
          </w:tcPr>
          <w:p>
            <w:pPr>
              <w:pStyle w:val="Compact"/>
              <w:spacing w:after="60" w:line="252" w:lineRule="auto"/>
              <w:jc w:val="left"/>
            </w:pPr>
            <w:r>
              <w:rPr>
                <w:sz w:val="19"/>
              </w:rPr>
              <w:t xml:space="preserve">S6</w:t>
            </w:r>
          </w:p>
        </w:tc>
        <w:tc>
          <w:tcPr>
            <w:tcW w:type="dxa" w:w="4422"/>
            <w:vAlign w:val="top"/>
          </w:tcPr>
          <w:p>
            <w:pPr>
              <w:pStyle w:val="Compact"/>
              <w:spacing w:after="60" w:line="252" w:lineRule="auto"/>
              <w:jc w:val="left"/>
            </w:pPr>
            <w:r>
              <w:rPr>
                <w:sz w:val="19"/>
              </w:rPr>
              <w:t xml:space="preserve">Görevin 120 saniyeyi doldurması</w:t>
            </w:r>
          </w:p>
        </w:tc>
        <w:tc>
          <w:tcPr>
            <w:tcW w:type="dxa" w:w="4252"/>
            <w:vAlign w:val="top"/>
          </w:tcPr>
          <w:p>
            <w:pPr>
              <w:pStyle w:val="Compact"/>
              <w:spacing w:after="60" w:line="252" w:lineRule="auto"/>
              <w:jc w:val="left"/>
            </w:pPr>
            <w:r>
              <w:rPr>
                <w:sz w:val="19"/>
              </w:rPr>
              <w:t xml:space="preserve">Süre sınırında durdurma üretildi.</w:t>
            </w:r>
          </w:p>
        </w:tc>
      </w:tr>
    </w:tbl>
    <w:p>
      <w:pPr>
        <w:pStyle w:val="BodyText"/>
      </w:pPr>
      <w:r>
        <w:t xml:space="preserve">Altı senaryodaki mantıksal kontroller beklenen sonuçları vermiştir. Şekil 4, S2 senaryosunun üretilen durum kaydını göstermektedir. Bu ön çalışma kontrol akışının uygulanabilirliğine ilişkin bir yazılım doğrulamasıdır; fiziksel araçta 8/10 görev başarısının veya 10 cm konum hedefinin sağlandığını göstermez. Fiziksel prototip, kalibrasyon ve bağımsız video deneyleri proje kapsamında gerçekleştirilecektir. Kaynak kod ve sentetik kayıtlar proje deposunda ön çalışma verisi olarak ayrı tutulmaktadır.</w:t>
      </w:r>
    </w:p>
    <w:p>
      <w:pPr>
        <w:pStyle w:val="BodyText"/>
        <w:keepNext/>
        <w:spacing w:after="40"/>
        <w:jc w:val="center"/>
      </w:pPr>
      <w:r>
        <w:drawing>
          <wp:inline>
            <wp:extent cx="6048000" cy="2323316"/>
            <wp:effectExtent b="0" l="0" r="0" t="0"/>
            <wp:docPr descr="Şekil 4 — Durum makinesi ön çalışması" title="" id="46" name="Picture"/>
            <a:graphic>
              <a:graphicData uri="http://schemas.openxmlformats.org/drawingml/2006/picture">
                <pic:pic>
                  <pic:nvPicPr>
                    <pic:cNvPr descr="gorseller/akademik_duzen/sekil_4_on_calisma.png" id="47" name="Picture"/>
                    <pic:cNvPicPr>
                      <a:picLocks noChangeArrowheads="1" noChangeAspect="1"/>
                    </pic:cNvPicPr>
                  </pic:nvPicPr>
                  <pic:blipFill>
                    <a:blip r:embed="rId45"/>
                    <a:stretch>
                      <a:fillRect/>
                    </a:stretch>
                  </pic:blipFill>
                  <pic:spPr bwMode="auto">
                    <a:xfrm>
                      <a:off x="0" y="0"/>
                      <a:ext cx="6048000" cy="2323316"/>
                    </a:xfrm>
                    <a:prstGeom prst="rect">
                      <a:avLst/>
                    </a:prstGeom>
                    <a:noFill/>
                    <a:ln w="9525">
                      <a:noFill/>
                      <a:headEnd/>
                      <a:tailEnd/>
                    </a:ln>
                  </pic:spPr>
                </pic:pic>
              </a:graphicData>
            </a:graphic>
          </wp:inline>
        </w:drawing>
      </w:r>
    </w:p>
    <w:p>
      <w:pPr>
        <w:pStyle w:val="Caption"/>
        <w:keepNext w:val="0"/>
        <w:keepLines/>
      </w:pPr>
      <w:r>
        <w:rPr>
          <w:b/>
          <w:bCs/>
        </w:rPr>
        <w:t xml:space="preserve">Şekil 4.</w:t>
      </w:r>
      <w:r>
        <w:t xml:space="preserve"> </w:t>
      </w:r>
      <w:r>
        <w:t xml:space="preserve">Çalıştırılan S2 mantıksal benzetiminde elde edilen durum geçişleri. Engel ve konum koşulları sentetik girdilerdir; grafik fiziksel rota, sensör doğruluğu veya deneysel araç performansı göstermez.</w:t>
      </w:r>
    </w:p>
    <w:bookmarkEnd w:id="48"/>
    <w:bookmarkEnd w:id="49"/>
    <w:bookmarkStart w:id="53" w:name="proje-yönetimi"/>
    <w:p>
      <w:pPr>
        <w:pStyle w:val="Heading2"/>
        <w:pageBreakBefore/>
      </w:pPr>
      <w:r>
        <w:t xml:space="preserve">3. PROJE YÖNETİMİ</w:t>
      </w:r>
    </w:p>
    <w:bookmarkStart w:id="50" w:name="çalışma-takvimi"/>
    <w:p>
      <w:pPr>
        <w:pStyle w:val="Heading3"/>
      </w:pPr>
      <w:r>
        <w:t xml:space="preserve">3.1. Çalışma takvimi</w:t>
      </w:r>
    </w:p>
    <w:p>
      <w:pPr>
        <w:pStyle w:val="FirstParagraph"/>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850"/>
        <w:gridCol w:w="2041"/>
        <w:gridCol w:w="1361"/>
        <w:gridCol w:w="4592"/>
        <w:gridCol w:w="794"/>
      </w:tblGrid>
      <w:tr>
        <w:trPr>
          <w:tblHeader w:val="on"/>
          <w:tblHeader/>
          <w:cantSplit/>
        </w:trPr>
        <w:tc>
          <w:tcPr>
            <w:tcW w:type="dxa" w:w="850"/>
            <w:vAlign w:val="top"/>
            <w:shd w:fill="EAF1F7"/>
          </w:tcPr>
          <w:p>
            <w:pPr>
              <w:pStyle w:val="Compact"/>
              <w:spacing w:after="60" w:line="252" w:lineRule="auto"/>
              <w:jc w:val="left"/>
            </w:pPr>
            <w:r>
              <w:rPr>
                <w:b/>
                <w:sz w:val="19"/>
              </w:rPr>
              <w:t xml:space="preserve">Dönem</w:t>
            </w:r>
          </w:p>
        </w:tc>
        <w:tc>
          <w:tcPr>
            <w:tcW w:type="dxa" w:w="2041"/>
            <w:vAlign w:val="top"/>
            <w:shd w:fill="EAF1F7"/>
          </w:tcPr>
          <w:p>
            <w:pPr>
              <w:pStyle w:val="Compact"/>
              <w:spacing w:after="60" w:line="252" w:lineRule="auto"/>
              <w:jc w:val="left"/>
            </w:pPr>
            <w:r>
              <w:rPr>
                <w:b/>
                <w:sz w:val="19"/>
              </w:rPr>
              <w:t xml:space="preserve">İş paketi / faaliyet</w:t>
            </w:r>
          </w:p>
        </w:tc>
        <w:tc>
          <w:tcPr>
            <w:tcW w:type="dxa" w:w="1361"/>
            <w:vAlign w:val="top"/>
            <w:shd w:fill="EAF1F7"/>
          </w:tcPr>
          <w:p>
            <w:pPr>
              <w:pStyle w:val="Compact"/>
              <w:spacing w:after="60" w:line="252" w:lineRule="auto"/>
              <w:jc w:val="left"/>
            </w:pPr>
            <w:r>
              <w:rPr>
                <w:b/>
                <w:sz w:val="19"/>
              </w:rPr>
              <w:t xml:space="preserve">Sorumlu</w:t>
            </w:r>
          </w:p>
        </w:tc>
        <w:tc>
          <w:tcPr>
            <w:tcW w:type="dxa" w:w="4592"/>
            <w:vAlign w:val="top"/>
            <w:shd w:fill="EAF1F7"/>
          </w:tcPr>
          <w:p>
            <w:pPr>
              <w:pStyle w:val="Compact"/>
              <w:spacing w:after="60" w:line="252" w:lineRule="auto"/>
              <w:jc w:val="left"/>
            </w:pPr>
            <w:r>
              <w:rPr>
                <w:b/>
                <w:sz w:val="19"/>
              </w:rPr>
              <w:t xml:space="preserve">Başarı ölçütü</w:t>
            </w:r>
          </w:p>
        </w:tc>
        <w:tc>
          <w:tcPr>
            <w:tcW w:type="dxa" w:w="794"/>
            <w:vAlign w:val="top"/>
            <w:shd w:fill="EAF1F7"/>
          </w:tcPr>
          <w:p>
            <w:pPr>
              <w:pStyle w:val="Compact"/>
              <w:spacing w:after="60" w:line="252" w:lineRule="auto"/>
              <w:jc w:val="left"/>
            </w:pPr>
            <w:r>
              <w:rPr>
                <w:b/>
                <w:sz w:val="19"/>
              </w:rPr>
              <w:t xml:space="preserve">Katkı</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İP1 — Donanım entegrasyonu ve kalibrasyon</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İki motor/enkoder ve beş sensörün çalışması; düz ilerleme, dönüş, sensör kapsaması ve durma mesafesi kayıtlarının tamamlanması.</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İP2 — Arayüz ve haberleşme</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Rota oluşturma/aktarma, başlatma/durdurma ve telemetri işlevlerinin bilgisayar ve telefon tarayıcısında doğrulanması; bağlantı kaybında durdurma.</w:t>
            </w:r>
          </w:p>
        </w:tc>
        <w:tc>
          <w:tcPr>
            <w:tcW w:type="dxa" w:w="794"/>
            <w:vAlign w:val="top"/>
          </w:tcPr>
          <w:p>
            <w:pPr>
              <w:pStyle w:val="Compact"/>
              <w:spacing w:after="60" w:line="252" w:lineRule="auto"/>
              <w:jc w:val="left"/>
            </w:pPr>
            <w:r>
              <w:rPr>
                <w:sz w:val="19"/>
              </w:rPr>
              <w:t xml:space="preserve">%15</w:t>
            </w:r>
          </w:p>
        </w:tc>
      </w:tr>
      <w:tr>
        <w:trPr>
          <w:cantSplit/>
        </w:trPr>
        <w:tc>
          <w:tcPr>
            <w:tcW w:type="dxa" w:w="850"/>
            <w:vAlign w:val="top"/>
          </w:tcPr>
          <w:p>
            <w:pPr>
              <w:pStyle w:val="Compact"/>
              <w:spacing w:after="60" w:line="252" w:lineRule="auto"/>
              <w:jc w:val="left"/>
            </w:pPr>
            <w:r>
              <w:rPr>
                <w:sz w:val="19"/>
              </w:rPr>
              <w:t xml:space="preserve">3. ay</w:t>
            </w:r>
          </w:p>
        </w:tc>
        <w:tc>
          <w:tcPr>
            <w:tcW w:type="dxa" w:w="2041"/>
            <w:vAlign w:val="top"/>
          </w:tcPr>
          <w:p>
            <w:pPr>
              <w:pStyle w:val="Compact"/>
              <w:spacing w:after="60" w:line="252" w:lineRule="auto"/>
              <w:jc w:val="left"/>
            </w:pPr>
            <w:r>
              <w:rPr>
                <w:sz w:val="19"/>
              </w:rPr>
              <w:t xml:space="preserve">İP3 — Konum kestirimi ve rota takibi</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4–5. ay</w:t>
            </w:r>
          </w:p>
        </w:tc>
        <w:tc>
          <w:tcPr>
            <w:tcW w:type="dxa" w:w="2041"/>
            <w:vAlign w:val="top"/>
          </w:tcPr>
          <w:p>
            <w:pPr>
              <w:pStyle w:val="Compact"/>
              <w:spacing w:after="60" w:line="252" w:lineRule="auto"/>
              <w:jc w:val="left"/>
            </w:pPr>
            <w:r>
              <w:rPr>
                <w:sz w:val="19"/>
              </w:rPr>
              <w:t xml:space="preserve">İP4 — Engel algılama, kaçınma ve rotaya dönüş</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Durum geçişleri, açıklık ve dönüş kurallarının bütünleştirilmesi; ayar kayıtlarıyla nihai yazılım ve parametre sürümünün sabitlenmesi.</w:t>
            </w:r>
          </w:p>
        </w:tc>
        <w:tc>
          <w:tcPr>
            <w:tcW w:type="dxa" w:w="794"/>
            <w:vAlign w:val="top"/>
          </w:tcPr>
          <w:p>
            <w:pPr>
              <w:pStyle w:val="Compact"/>
              <w:spacing w:after="60" w:line="252" w:lineRule="auto"/>
              <w:jc w:val="left"/>
            </w:pPr>
            <w:r>
              <w:rPr>
                <w:sz w:val="19"/>
              </w:rPr>
              <w:t xml:space="preserve">%30</w:t>
            </w:r>
          </w:p>
        </w:tc>
      </w:tr>
      <w:tr>
        <w:trPr>
          <w:cantSplit/>
        </w:trPr>
        <w:tc>
          <w:tcPr>
            <w:tcW w:type="dxa" w:w="850"/>
            <w:vAlign w:val="top"/>
          </w:tcPr>
          <w:p>
            <w:pPr>
              <w:pStyle w:val="Compact"/>
              <w:spacing w:after="60" w:line="252" w:lineRule="auto"/>
              <w:jc w:val="left"/>
            </w:pPr>
            <w:r>
              <w:rPr>
                <w:sz w:val="19"/>
              </w:rPr>
              <w:t xml:space="preserve">5–6. ay</w:t>
            </w:r>
          </w:p>
        </w:tc>
        <w:tc>
          <w:tcPr>
            <w:tcW w:type="dxa" w:w="2041"/>
            <w:vAlign w:val="top"/>
          </w:tcPr>
          <w:p>
            <w:pPr>
              <w:pStyle w:val="Compact"/>
              <w:spacing w:after="60" w:line="252" w:lineRule="auto"/>
              <w:jc w:val="left"/>
            </w:pPr>
            <w:r>
              <w:rPr>
                <w:sz w:val="19"/>
              </w:rPr>
              <w:t xml:space="preserve">İP5 — Kontrollü deney, analiz ve sonuçların raporlanması</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Toplam 40 geçerli deneme; her engelli koşulda en az 8/10 birleşik başarı hedefinin değerlendirilmesi; süre, hata ve başarısızlık analizleri ile sonuç raporunun tamamlanması.</w:t>
            </w:r>
          </w:p>
        </w:tc>
        <w:tc>
          <w:tcPr>
            <w:tcW w:type="dxa" w:w="794"/>
            <w:vAlign w:val="top"/>
          </w:tcPr>
          <w:p>
            <w:pPr>
              <w:pStyle w:val="Compact"/>
              <w:spacing w:after="60" w:line="252" w:lineRule="auto"/>
              <w:jc w:val="left"/>
            </w:pPr>
            <w:r>
              <w:rPr>
                <w:sz w:val="19"/>
              </w:rPr>
              <w:t xml:space="preserve">%15</w:t>
            </w:r>
          </w:p>
        </w:tc>
      </w:tr>
    </w:tbl>
    <w:p>
      <w:pPr>
        <w:pStyle w:val="BodyText"/>
      </w:pPr>
      <w:r>
        <w:t xml:space="preserve">Başarıya katkı toplamı %100’dür. İlk iki ayda donanım ve arayüz çalışmaları kısmen paralel yürütülecektir. Rota takibine, hareket kalibrasyonu ve rota aktarımı tamamlandıktan sonra geçilecektir. Beşinci ayda veri işleme araçları, kayıt/analiz şablonları ve raporun yöntem bölümü hazırlanacaktır. Kaçınma entegrasyonu ve ayar denemelerini, son sürümün sabitlenmesi ile altıncı aydaki 40 geçerli deney izleyecektir. Deney sonuçları geldikçe analiz ve sonuç raporu birlikte tamamlanacaktır. Literatür incelemesi, temin ve raporlama ilgili teknik faaliyetlere eşlik edecek; bağımsız iş paketi yapılmayacaktır.</w:t>
      </w:r>
    </w:p>
    <w:bookmarkEnd w:id="50"/>
    <w:bookmarkStart w:id="51"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1, 3, 4</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4, 5</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Sabitleme, yükseklik düzlemi, mercek düzeltmesi ve kontrol noktaları iyileştirilecektir. Gerekirse yine bağımsız kalan başka bir sabit görüntüleme düzeni kurulacak; yalnız ölçülebilen kapsam raporlanacaktır.</w:t>
            </w:r>
          </w:p>
        </w:tc>
        <w:tc>
          <w:tcPr>
            <w:tcW w:type="dxa" w:w="850"/>
            <w:vAlign w:val="top"/>
          </w:tcPr>
          <w:p>
            <w:pPr>
              <w:pStyle w:val="Compact"/>
              <w:spacing w:after="60" w:line="252" w:lineRule="auto"/>
              <w:jc w:val="left"/>
            </w:pPr>
            <w:r>
              <w:rPr>
                <w:sz w:val="19"/>
              </w:rPr>
              <w:t xml:space="preserve">1, 5</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1–5</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51"/>
    <w:bookmarkStart w:id="52"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Planlanan deney yeri, Konya Teknik Üniversitesi Elektrik-Elektronik Mühendisliği Bölümünde bir derslikte kurulacak 3 × 3 metrelik İKA deney alanıdır. Derslik içinde 3 × 3 metrelik düz zeminli alan ayrılacak; kullanım zamanı ders programına ve bölümün iznine göre düzenlenecektir. Diğer altyapı kişisel kaynaklar ve proje bütçesiyle sağlanacaktır.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Üniversitede kullanımı planlanan derslik</w:t>
            </w:r>
          </w:p>
        </w:tc>
        <w:tc>
          <w:tcPr>
            <w:tcW w:type="dxa" w:w="7257"/>
            <w:vAlign w:val="top"/>
          </w:tcPr>
          <w:p>
            <w:pPr>
              <w:pStyle w:val="Compact"/>
              <w:spacing w:after="60" w:line="252" w:lineRule="auto"/>
              <w:jc w:val="left"/>
            </w:pPr>
            <w:r>
              <w:rPr>
                <w:sz w:val="19"/>
              </w:rPr>
              <w:t xml:space="preserve">3 × 3 metrelik deney alanının kurulması; bölüm izni ve uygun zamanlama ile kullanım</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r>
        <w:trPr>
          <w:cantSplit/>
        </w:trPr>
        <w:tc>
          <w:tcPr>
            <w:tcW w:type="dxa" w:w="2381"/>
            <w:vAlign w:val="top"/>
          </w:tcPr>
          <w:p>
            <w:pPr>
              <w:pStyle w:val="Compact"/>
              <w:spacing w:after="60" w:line="252" w:lineRule="auto"/>
              <w:jc w:val="left"/>
            </w:pPr>
            <w:r>
              <w:rPr>
                <w:sz w:val="19"/>
              </w:rPr>
              <w:t xml:space="preserve">Proje bütçesinden sağlanacak kontrol, algılama ve hareket bileşenleri</w:t>
            </w:r>
          </w:p>
        </w:tc>
        <w:tc>
          <w:tcPr>
            <w:tcW w:type="dxa" w:w="7257"/>
            <w:vAlign w:val="top"/>
          </w:tcPr>
          <w:p>
            <w:pPr>
              <w:pStyle w:val="Compact"/>
              <w:spacing w:after="60" w:line="252" w:lineRule="auto"/>
              <w:jc w:val="left"/>
            </w:pPr>
            <w:r>
              <w:rPr>
                <w:sz w:val="19"/>
              </w:rPr>
              <w:t xml:space="preserve">Araç prototipinin kurulması</w:t>
            </w:r>
          </w:p>
        </w:tc>
      </w:tr>
      <w:tr>
        <w:trPr>
          <w:cantSplit/>
        </w:trPr>
        <w:tc>
          <w:tcPr>
            <w:tcW w:type="dxa" w:w="2381"/>
            <w:vAlign w:val="top"/>
          </w:tcPr>
          <w:p>
            <w:pPr>
              <w:pStyle w:val="Compact"/>
              <w:spacing w:after="60" w:line="252" w:lineRule="auto"/>
              <w:jc w:val="left"/>
            </w:pPr>
            <w:r>
              <w:rPr>
                <w:sz w:val="19"/>
              </w:rPr>
              <w:t xml:space="preserve">Proje bütçesinden sağlanacak multimetre, uzunluk ölçüm aracı, telefon sabitleme ve işaretleme malzemesi</w:t>
            </w:r>
          </w:p>
        </w:tc>
        <w:tc>
          <w:tcPr>
            <w:tcW w:type="dxa" w:w="7257"/>
            <w:vAlign w:val="top"/>
          </w:tcPr>
          <w:p>
            <w:pPr>
              <w:pStyle w:val="Compact"/>
              <w:spacing w:after="60" w:line="252" w:lineRule="auto"/>
              <w:jc w:val="left"/>
            </w:pPr>
            <w:r>
              <w:rPr>
                <w:sz w:val="19"/>
              </w:rPr>
              <w:t xml:space="preserve">Elektriksel kontrol, deney alanının kurulması ve görüntü kalibrasyonu</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52"/>
    <w:bookmarkEnd w:id="53"/>
    <w:bookmarkStart w:id="54" w:name="araştirma-önerisinin-yaygin-etkisi"/>
    <w:p>
      <w:pPr>
        <w:pStyle w:val="Heading2"/>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performans değerlendirmesi ve bir ulusal bildiri başvurusu</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bulguların bir ulusal bilimsel toplantıya bildiri olarak gönderilmesi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Uygun açık kaynak lisansıyla yayımlanan bir araç/arayüz yazılımı ve teknik dokümantasyon deposu</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GitHub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Proje sonunda bulguları içeren bir bildiri metni hazırlanarak bir ulusal bilimsel toplantıya gönderilmesi hedeflenmektedir. Kodlar, deney protokolü ve paylaşılabilir kayıtlar açık kaynak proje deposunda yayımlanacaktır.</w:t>
      </w:r>
    </w:p>
    <w:bookmarkEnd w:id="54"/>
    <w:bookmarkStart w:id="55" w:name="belirtmek-istenen-diğer-konular"/>
    <w:p>
      <w:pPr>
        <w:pStyle w:val="Heading2"/>
      </w:pPr>
      <w:r>
        <w:t xml:space="preserve">5. BELİRTMEK İSTENEN DİĞER KONULAR</w:t>
      </w:r>
    </w:p>
    <w:p>
      <w:pPr>
        <w:pStyle w:val="FirstParagraph"/>
      </w:pPr>
      <w:r>
        <w:t xml:space="preserve">Çalışma düz zemin ve sabit engellerle sınırlandırılmıştır. Hareketli engeller ve coğrafi harita tabanlı kullanım ileri çalışmaların konusudur.</w:t>
      </w:r>
    </w:p>
    <w:p>
      <w:pPr>
        <w:pStyle w:val="BodyText"/>
      </w:pPr>
      <w:r>
        <w:t xml:space="preserve">Metin hazırlama ve düzenleme, kaynak inceleme desteği ve ön çalışma kodu için üretken yapay zekâ araçları; şemalar için görsel üretim araçları; koordinat ve ön çalışma grafikleri için bilimsel bir grafik kütüphanesi kullanılmıştır. İçerik ve kaynakların sorumluluğu yürütücü ile akademik danışmana aittir. Şekil 1–3 planlanan tasarımı, Şekil 4 sentetik girdili mantıksal ön çalışmayı göstermektedir. Fiziksel araç deneyi sonucu sunulmamaktadır.</w:t>
      </w:r>
    </w:p>
    <w:bookmarkEnd w:id="55"/>
    <w:bookmarkStart w:id="57" w:name="ekler"/>
    <w:p>
      <w:pPr>
        <w:pStyle w:val="Heading2"/>
        <w:pageBreakBefore/>
      </w:pPr>
      <w:r>
        <w:t xml:space="preserve">6. EKLER</w:t>
      </w:r>
    </w:p>
    <w:bookmarkStart w:id="56" w:name="ek-1.-gerekçeli-bütçe"/>
    <w:p>
      <w:pPr>
        <w:pStyle w:val="Heading3"/>
      </w:pPr>
      <w:r>
        <w:t xml:space="preserve">Ek 1. Gerekçeli bütçe</w:t>
      </w:r>
    </w:p>
    <w:p>
      <w:pPr>
        <w:pStyle w:val="FirstParagraph"/>
      </w:pPr>
      <w:r>
        <w:t xml:space="preserve">Toplam destek talebi</w:t>
      </w:r>
      <w:r>
        <w:t xml:space="preserve"> </w:t>
      </w:r>
      <w:r>
        <w:rPr>
          <w:b/>
          <w:bCs/>
        </w:rPr>
        <w:t xml:space="preserve">11.500 TL</w:t>
      </w:r>
      <w:r>
        <w:t xml:space="preserve">’dir. Aşağıdaki birim ve toplam bedeller KDV dahil tahmini maliyetlerdir; bağlayıcı satıcı teklifi niteliği taşımaz. Kalemler bir araç prototipi, beş sensörlü algılama düzeni ve 40 denemelik değerlendirme için planlanmıştır.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ESP32 geliştirme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Boş şasi veya şasi imalatı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500,00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K22 — Yurt içi ürün teslim/kargo gideri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Kontrol ve algılama için 3.500 TL, hareket/şasi için 2.850 TL, güç için 2.850 TL, montaj/bağlantı için 700 TL, deney düzeni için 1.300 TL ve yurt içi teslim için 300 TL ayrılmıştır. Kontrol ve algılama bileşenleri İP1–4’ün; deney düzeni ve ölçüm araçları İP1 ve İP5’in gereksinimlerini karşılayacaktır.</w:t>
      </w:r>
    </w:p>
    <w:p>
      <w:pPr>
        <w:pStyle w:val="BodyText"/>
      </w:pPr>
      <w:r>
        <w:t xml:space="preserve">Mevcut telefon ve lehim ekipmanı yeniden bütçelenmemiştir. Hazır kitte bulunan parçalar ikinci kez alınmayacak; tedarik, Bölüm 2.2’de tanımlanan işlevsel uyum şartlarına göre yapılacaktır.</w:t>
      </w:r>
    </w:p>
    <w:bookmarkEnd w:id="56"/>
    <w:bookmarkEnd w:id="57"/>
    <w:bookmarkStart w:id="65"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8">
        <w:r>
          <w:rPr>
            <w:rStyle w:val="Hyperlink"/>
          </w:rPr>
          <w:t xml:space="preserve">https://doi.org/10.3390/robotics6020007</w:t>
        </w:r>
      </w:hyperlink>
      <w:r>
        <w:t xml:space="preserve">.</w:t>
      </w:r>
    </w:p>
    <w:p>
      <w:pPr>
        <w:numPr>
          <w:ilvl w:val="0"/>
          <w:numId w:val="1003"/>
        </w:numPr>
      </w:pPr>
      <w:r>
        <w:t xml:space="preserve">Corke, P. 2017.</w:t>
      </w:r>
      <w:r>
        <w:t xml:space="preserve"> </w:t>
      </w:r>
      <w:r>
        <w:rPr>
          <w:i/>
          <w:iCs/>
        </w:rPr>
        <w:t xml:space="preserve">Robotics, Vision and Control</w:t>
      </w:r>
      <w:r>
        <w:t xml:space="preserve">. 2. baskı. Springer International Publishing. ISBN: 978-3-319-54413-7. DOI:</w:t>
      </w:r>
      <w:r>
        <w:t xml:space="preserve"> </w:t>
      </w:r>
      <w:hyperlink r:id="rId59">
        <w:r>
          <w:rPr>
            <w:rStyle w:val="Hyperlink"/>
          </w:rPr>
          <w:t xml:space="preserve">https://doi.org/10.1007/978-3-319-54413-7</w:t>
        </w:r>
      </w:hyperlink>
      <w:r>
        <w:t xml:space="preserve">.</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60">
        <w:r>
          <w:rPr>
            <w:rStyle w:val="Hyperlink"/>
          </w:rPr>
          <w:t xml:space="preserve">https://doi.org/10.3390/buildings13092212</w:t>
        </w:r>
      </w:hyperlink>
      <w:r>
        <w:t xml:space="preserve">.</w:t>
      </w:r>
    </w:p>
    <w:p>
      <w:pPr>
        <w:numPr>
          <w:ilvl w:val="0"/>
          <w:numId w:val="1003"/>
        </w:numPr>
      </w:pPr>
      <w:r>
        <w:t xml:space="preserve">Lumelsky, V. J., Stepanov, A. A. 1987.</w:t>
      </w:r>
      <w:r>
        <w:t xml:space="preserve"> </w:t>
      </w:r>
      <w:r>
        <w:t xml:space="preserve">“</w:t>
      </w:r>
      <w:r>
        <w:t xml:space="preserve">Path-planning strategies for a point mobile automaton moving amidst unknown obstacles of arbitrary shape</w:t>
      </w:r>
      <w:r>
        <w:t xml:space="preserve">”</w:t>
      </w:r>
      <w:r>
        <w:t xml:space="preserve">,</w:t>
      </w:r>
      <w:r>
        <w:t xml:space="preserve"> </w:t>
      </w:r>
      <w:r>
        <w:rPr>
          <w:i/>
          <w:iCs/>
        </w:rPr>
        <w:t xml:space="preserve">Algorithmica</w:t>
      </w:r>
      <w:r>
        <w:t xml:space="preserve">, 2, 403–430. DOI:</w:t>
      </w:r>
      <w:r>
        <w:t xml:space="preserve"> </w:t>
      </w:r>
      <w:hyperlink r:id="rId61">
        <w:r>
          <w:rPr>
            <w:rStyle w:val="Hyperlink"/>
          </w:rPr>
          <w:t xml:space="preserve">https://doi.org/10.1007/BF01840369</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62">
        <w:r>
          <w:rPr>
            <w:rStyle w:val="Hyperlink"/>
          </w:rPr>
          <w:t xml:space="preserve">https://doi.org/10.3390/robotics15090171</w:t>
        </w:r>
      </w:hyperlink>
      <w:r>
        <w:t xml:space="preserve">.</w:t>
      </w:r>
    </w:p>
    <w:p>
      <w:pPr>
        <w:numPr>
          <w:ilvl w:val="0"/>
          <w:numId w:val="1003"/>
        </w:numPr>
      </w:pPr>
      <w:r>
        <w:t xml:space="preserve">STMicroelectronics. 2024.</w:t>
      </w:r>
      <w:r>
        <w:t xml:space="preserve"> </w:t>
      </w:r>
      <w:r>
        <w:rPr>
          <w:i/>
          <w:iCs/>
        </w:rPr>
        <w:t xml:space="preserve">VL53L0X: Time-of-Flight ranging sensor</w:t>
      </w:r>
      <w:r>
        <w:t xml:space="preserve">. Veri sayfası DS11555, Rev. 6, Haziran 2024, Bölüm 6, s. 21–24. İnternet adresi:</w:t>
      </w:r>
      <w:r>
        <w:t xml:space="preserve"> </w:t>
      </w:r>
      <w:hyperlink r:id="rId63">
        <w:r>
          <w:rPr>
            <w:rStyle w:val="Hyperlink"/>
          </w:rPr>
          <w:t xml:space="preserve">https://www.st.com/resource/en/datasheet/vl53l0x.pdf</w:t>
        </w:r>
      </w:hyperlink>
      <w:r>
        <w:t xml:space="preserve">. Son erişim tarihi: 22 Ekim 2026.</w:t>
      </w:r>
    </w:p>
    <w:p>
      <w:pPr>
        <w:numPr>
          <w:ilvl w:val="0"/>
          <w:numId w:val="1003"/>
        </w:numPr>
      </w:pPr>
      <w:r>
        <w:t xml:space="preserve">Wilson, E. B. 1927.</w:t>
      </w:r>
      <w:r>
        <w:t xml:space="preserve"> </w:t>
      </w:r>
      <w:r>
        <w:t xml:space="preserve">“</w:t>
      </w:r>
      <w:r>
        <w:t xml:space="preserve">Probable Inference, the Law of Succession, and Statistical Inference</w:t>
      </w:r>
      <w:r>
        <w:t xml:space="preserve">”</w:t>
      </w:r>
      <w:r>
        <w:t xml:space="preserve">,</w:t>
      </w:r>
      <w:r>
        <w:t xml:space="preserve"> </w:t>
      </w:r>
      <w:r>
        <w:rPr>
          <w:i/>
          <w:iCs/>
        </w:rPr>
        <w:t xml:space="preserve">Journal of the American Statistical Association</w:t>
      </w:r>
      <w:r>
        <w:t xml:space="preserve">, 22(158), 209–212. DOI:</w:t>
      </w:r>
      <w:r>
        <w:t xml:space="preserve"> </w:t>
      </w:r>
      <w:hyperlink r:id="rId64">
        <w:r>
          <w:rPr>
            <w:rStyle w:val="Hyperlink"/>
          </w:rPr>
          <w:t xml:space="preserve">https://doi.org/10.1080/01621459.1927.10502953</w:t>
        </w:r>
      </w:hyperlink>
      <w:r>
        <w:t xml:space="preserve">.</w:t>
      </w:r>
    </w:p>
    <w:bookmarkEnd w:id="65"/>
    <w:bookmarkEnd w:id="66"/>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5" w:space="10" w:color="879CAE"/>
      </w:pBdr>
    </w:pPr>
    <w:r>
      <w:rPr>
        <w:b/>
        <w:color w:val="64748B"/>
        <w:sz w:val="16"/>
      </w:rPr>
      <w:t>2209-A ÜNİVERSİTE ÖĞRENCİLERİ ARAŞTIRMA PROJELERİ DESTEKLEME PROGRAMI</w:t>
      <w:br/>
      <w:t>ARAŞTIRMA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line="252" w:lineRule="auto"/>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80"/>
      <w:outlineLvl w:val="0"/>
    </w:pPr>
    <w:rPr>
      <w:rFonts w:ascii="Arial" w:asciiTheme="majorHAnsi" w:cstheme="majorBidi" w:eastAsiaTheme="majorEastAsia" w:hAnsi="Arial" w:hAnsiTheme="majorHAnsi"/>
      <w:b/>
      <w:bCs/>
      <w:color w:val="183A57"/>
      <w:sz w:val="44"/>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Theme="majorEastAsia" w:hAnsi="Arial" w:hAnsiTheme="majorHAnsi"/>
      <w:b/>
      <w:bCs/>
      <w:color w:val="183A57"/>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rial" w:asciiTheme="majorHAnsi" w:cstheme="majorBidi" w:eastAsiaTheme="majorEastAsia" w:hAnsi="Arial" w:hAnsiTheme="majorHAnsi"/>
      <w:b/>
      <w:bCs/>
      <w:color w:val="183A57"/>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hAnsi="Arial"/>
      <w:b/>
      <w:bCs/>
      <w:i w:val="0"/>
      <w:color w:val="475569"/>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9" Type="http://schemas.openxmlformats.org/officeDocument/2006/relationships/image" Target="media/rId29.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59" Type="http://schemas.openxmlformats.org/officeDocument/2006/relationships/hyperlink" Target="https://doi.org/10.1007/978-3-319-54413-7" TargetMode="External"/><Relationship Id="rId61" Type="http://schemas.openxmlformats.org/officeDocument/2006/relationships/hyperlink" Target="https://doi.org/10.1007/BF01840369" TargetMode="External"/><Relationship Id="rId64" Type="http://schemas.openxmlformats.org/officeDocument/2006/relationships/hyperlink" Target="https://doi.org/10.1080/01621459.1927.10502953" TargetMode="External"/><Relationship Id="rId60" Type="http://schemas.openxmlformats.org/officeDocument/2006/relationships/hyperlink" Target="https://doi.org/10.3390/buildings13092212" TargetMode="External"/><Relationship Id="rId62"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3" Type="http://schemas.openxmlformats.org/officeDocument/2006/relationships/hyperlink" Target="https://www.st.com/resource/en/datasheet/vl53l0x.pdf"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978-3-319-54413-7" TargetMode="External"/><Relationship Id="rId61" Type="http://schemas.openxmlformats.org/officeDocument/2006/relationships/hyperlink" Target="https://doi.org/10.1007/BF01840369" TargetMode="External"/><Relationship Id="rId64" Type="http://schemas.openxmlformats.org/officeDocument/2006/relationships/hyperlink" Target="https://doi.org/10.1080/01621459.1927.10502953" TargetMode="External"/><Relationship Id="rId60" Type="http://schemas.openxmlformats.org/officeDocument/2006/relationships/hyperlink" Target="https://doi.org/10.3390/buildings13092212" TargetMode="External"/><Relationship Id="rId62"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3" Type="http://schemas.openxmlformats.org/officeDocument/2006/relationships/hyperlink" Target="https://www.st.com/resource/en/datasheet/vl53l0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tanımlı rotada sabit engelden kaçınma ve rotaya yeniden katılma: küçük ölçekli bir kara aracında deneysel değerlendirme</dc:title>
  <dc:creator>Ahmet Talha Arslan</dc:creator>
  <dc:language>tr-TR</dc:language>
  <cp:keywords/>
  <dcterms:created xsi:type="dcterms:W3CDTF">2026-10-22T20:33:19Z</dcterms:created>
  <dcterms:modified xsi:type="dcterms:W3CDTF">2026-10-22T20:33:19Z</dcterms:modified>
  <dc:subject>Araştırma önerisi; yöntem, ön çalışma ve deney planı</dc:subject>
</cp:coreProperties>
</file>

<file path=docProps/custom.xml><?xml version="1.0" encoding="utf-8"?>
<Properties xmlns="http://schemas.openxmlformats.org/officeDocument/2006/custom-properties" xmlns:vt="http://schemas.openxmlformats.org/officeDocument/2006/docPropsVTypes"/>
</file>