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project_us_house – Pipeline &amp; Outputs Guide</w:t>
      </w:r>
    </w:p>
    <w:p>
      <w:pPr>
        <w:jc w:val="center"/>
      </w:pPr>
      <w:r>
        <w:rPr>
          <w:i/>
        </w:rPr>
        <w:t>Generated: 2025-12-13</w:t>
      </w:r>
    </w:p>
    <w:p/>
    <w:p>
      <w:pPr>
        <w:pStyle w:val="Heading1"/>
      </w:pPr>
      <w:r>
        <w:t>1) Amaç ve araştırma sorusu</w:t>
      </w:r>
    </w:p>
    <w:p>
      <w:r>
        <w:t>Bu proje, ABD’de mortgage faiz oranındaki “beklenmedik artış” (rate shock) sonrasında konut fiyatlarının (FHFA HPI) tepkisinin eyaletler arasında neden farklılaştığını ölçer. Heterojenliği iki arz-tarafı kanıt hattı ile ilişkilendirir:</w:t>
        <w:br/>
      </w:r>
    </w:p>
    <w:p>
      <w:r>
        <w:t>• Permits kanalı: Faiz şoku sonrası inşaat izinleri/konut arzı tepkisi ile fiyat tepkisi arasındaki ilişki.</w:t>
      </w:r>
    </w:p>
    <w:p>
      <w:r>
        <w:t>• Saiz housing supply elasticity: Arz esnekliği yüksek/düşük bölgelerde fiyat tepkisinin farklılaşıp farklılaşmadığı.</w:t>
      </w:r>
    </w:p>
    <w:p>
      <w:r>
        <w:t>Ana çıktılar: state-level sensitivity haritaları, scatter ilişkileri (price vs permits; price vs Saiz), ve çok değişkenli regresyon tabloları (Saiz + permits birlikte).</w:t>
      </w:r>
    </w:p>
    <w:p>
      <w:pPr>
        <w:pStyle w:val="Heading1"/>
      </w:pPr>
      <w:r>
        <w:t>2) Klasör yapısı</w:t>
      </w:r>
    </w:p>
    <w:p>
      <w:r>
        <w:rPr>
          <w:rFonts w:ascii="Consolas" w:hAnsi="Consolas" w:eastAsia="Consolas"/>
          <w:sz w:val="20"/>
        </w:rPr>
        <w:t>project_us_house/</w:t>
        <w:br/>
        <w:t xml:space="preserve">  data/</w:t>
        <w:br/>
        <w:t xml:space="preserve">    raw/        # ham dosyalar</w:t>
        <w:br/>
        <w:t xml:space="preserve">    processed/  # üretilen çıktı dosyaları</w:t>
        <w:br/>
        <w:t xml:space="preserve">      figures/  # scatter vb. görseller (HTML)</w:t>
        <w:br/>
        <w:t xml:space="preserve">      maps/     # haritalar (HTML)</w:t>
        <w:br/>
        <w:t xml:space="preserve">      tables/   # tablolar (CSV/XLSX/TEX/MD/TXT)</w:t>
        <w:br/>
        <w:t xml:space="preserve">  src/          # .py scriptleri (pipeline)</w:t>
        <w:br/>
        <w:t xml:space="preserve">  notebook/     # bilgi notu / dokümantasyon (information.docx)</w:t>
        <w:br/>
      </w:r>
    </w:p>
    <w:p>
      <w:pPr>
        <w:pStyle w:val="Heading1"/>
      </w:pPr>
      <w:r>
        <w:t>3) Ham veriler (data/raw)</w:t>
      </w:r>
    </w:p>
    <w:p>
      <w:r>
        <w:t>Bu klasörde proje için başlangıçta gereken ana dosyalar:</w:t>
      </w:r>
    </w:p>
    <w:p>
      <w:r>
        <w:rPr>
          <w:b/>
        </w:rPr>
        <w:t>• hpi_master.csv</w:t>
      </w:r>
    </w:p>
    <w:p>
      <w:r>
        <w:t xml:space="preserve">  FHFA House Price Index (HPI) veri seti. State ve MSA düzeyinde HPI serilerini içerir.</w:t>
      </w:r>
    </w:p>
    <w:p>
      <w:r>
        <w:rPr>
          <w:b/>
        </w:rPr>
        <w:t>• hpi_dictionary.xlsx</w:t>
      </w:r>
    </w:p>
    <w:p>
      <w:r>
        <w:t xml:space="preserve">  HPI sütunları/kodları için sözlük dosyası (okunabilirlik için).</w:t>
      </w:r>
    </w:p>
    <w:p>
      <w:r>
        <w:rPr>
          <w:b/>
        </w:rPr>
        <w:t>• saiz_elasticities.dta</w:t>
      </w:r>
    </w:p>
    <w:p>
      <w:r>
        <w:t xml:space="preserve">  MSA düzeyinde (Saiz) housing supply elasticity ölçüleri. Sonrasında eyalet düzeyine agregasyon yapılır.</w:t>
      </w:r>
    </w:p>
    <w:p>
      <w:r>
        <w:t>Mortgage rate ve permits serileri FRED üzerinden kod ile çekilip işlenir; ham indirilen ara dosyalar da gerekirse raw/ altında tutulabilir.</w:t>
      </w:r>
    </w:p>
    <w:p>
      <w:pPr>
        <w:pStyle w:val="Heading1"/>
      </w:pPr>
      <w:r>
        <w:t>4) Pipeline: src/ içindeki scriptler ne yapıyor?</w:t>
      </w:r>
    </w:p>
    <w:p>
      <w:r>
        <w:t>Aşağıdaki sıra, uçtan uca yeniden üretim (reproducibility) için önerilen çalıştırma sırasıdır.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Script</w:t>
            </w:r>
          </w:p>
        </w:tc>
        <w:tc>
          <w:tcPr>
            <w:tcW w:type="dxa" w:w="2880"/>
          </w:tcPr>
          <w:p>
            <w:r>
              <w:t>Ne yapar?</w:t>
            </w:r>
          </w:p>
        </w:tc>
        <w:tc>
          <w:tcPr>
            <w:tcW w:type="dxa" w:w="2880"/>
          </w:tcPr>
          <w:p>
            <w:r>
              <w:t>Başlıca çıktılar (data/processed)</w:t>
            </w:r>
          </w:p>
        </w:tc>
      </w:tr>
      <w:tr>
        <w:tc>
          <w:tcPr>
            <w:tcW w:type="dxa" w:w="2880"/>
          </w:tcPr>
          <w:p>
            <w:r>
              <w:t>01_ingest_hpi.py</w:t>
            </w:r>
          </w:p>
        </w:tc>
        <w:tc>
          <w:tcPr>
            <w:tcW w:type="dxa" w:w="2880"/>
          </w:tcPr>
          <w:p>
            <w:r>
              <w:t>FHFA hpi_master.csv içinden filtrelenmiş HPI serilerini çıkarır ve çeyreklik frekansta düzenler (state ve MSA). Ayrıca çeyreklik tarih (qdate) alanı oluşturur.</w:t>
            </w:r>
          </w:p>
        </w:tc>
        <w:tc>
          <w:tcPr>
            <w:tcW w:type="dxa" w:w="2880"/>
          </w:tcPr>
          <w:p>
            <w:r>
              <w:t>hpi_state_quarterly.csv, hpi_msa_quarterly.csv</w:t>
            </w:r>
          </w:p>
        </w:tc>
      </w:tr>
      <w:tr>
        <w:tc>
          <w:tcPr>
            <w:tcW w:type="dxa" w:w="2880"/>
          </w:tcPr>
          <w:p>
            <w:r>
              <w:t>02_ingest_rates.py</w:t>
            </w:r>
          </w:p>
        </w:tc>
        <w:tc>
          <w:tcPr>
            <w:tcW w:type="dxa" w:w="2880"/>
          </w:tcPr>
          <w:p>
            <w:r>
              <w:t>FRED’den 30-year mortgage rate serisini çeker; çeyreklik frekansa indirger ve “rate shock” serisini üretir (ör. trendden sapma: rate − MA(8q)).</w:t>
            </w:r>
          </w:p>
        </w:tc>
        <w:tc>
          <w:tcPr>
            <w:tcW w:type="dxa" w:w="2880"/>
          </w:tcPr>
          <w:p>
            <w:r>
              <w:t>rate_shock_quarterly.csv</w:t>
            </w:r>
          </w:p>
        </w:tc>
      </w:tr>
      <w:tr>
        <w:tc>
          <w:tcPr>
            <w:tcW w:type="dxa" w:w="2880"/>
          </w:tcPr>
          <w:p>
            <w:r>
              <w:t>03_ingest_permits.py</w:t>
            </w:r>
          </w:p>
        </w:tc>
        <w:tc>
          <w:tcPr>
            <w:tcW w:type="dxa" w:w="2880"/>
          </w:tcPr>
          <w:p>
            <w:r>
              <w:t>FRED’den eyalet bazlı konut permits serilerini çeker; çeyreklik frekansa indirger.</w:t>
            </w:r>
          </w:p>
        </w:tc>
        <w:tc>
          <w:tcPr>
            <w:tcW w:type="dxa" w:w="2880"/>
          </w:tcPr>
          <w:p>
            <w:r>
              <w:t>permits_state_quarterly.csv</w:t>
            </w:r>
          </w:p>
        </w:tc>
      </w:tr>
      <w:tr>
        <w:tc>
          <w:tcPr>
            <w:tcW w:type="dxa" w:w="2880"/>
          </w:tcPr>
          <w:p>
            <w:r>
              <w:t>04_merge_panel_state.py</w:t>
            </w:r>
          </w:p>
        </w:tc>
        <w:tc>
          <w:tcPr>
            <w:tcW w:type="dxa" w:w="2880"/>
          </w:tcPr>
          <w:p>
            <w:r>
              <w:t>HPI (state), rate shock ve permits serilerini ortak qdate ekseninde birleştirerek panel veri setini oluşturur.</w:t>
            </w:r>
          </w:p>
        </w:tc>
        <w:tc>
          <w:tcPr>
            <w:tcW w:type="dxa" w:w="2880"/>
          </w:tcPr>
          <w:p>
            <w:r>
              <w:t>panel_state_quarterly.csv</w:t>
            </w:r>
          </w:p>
        </w:tc>
      </w:tr>
      <w:tr>
        <w:tc>
          <w:tcPr>
            <w:tcW w:type="dxa" w:w="2880"/>
          </w:tcPr>
          <w:p>
            <w:r>
              <w:t>05_estimate_sensitivities.py</w:t>
            </w:r>
          </w:p>
        </w:tc>
        <w:tc>
          <w:tcPr>
            <w:tcW w:type="dxa" w:w="2880"/>
          </w:tcPr>
          <w:p>
            <w:r>
              <w:t>Her eyalet için distributed-lag regresyonu ile (HPI büyüme ~ shock ve gecikmeler) 1 yıllık kümülatif etkiyi hesaplar. Aynı yaklaşımı permits için de uygular.</w:t>
            </w:r>
          </w:p>
        </w:tc>
        <w:tc>
          <w:tcPr>
            <w:tcW w:type="dxa" w:w="2880"/>
          </w:tcPr>
          <w:p>
            <w:r>
              <w:t>state_price_sensitivity.csv, state_permits_sensitivity.csv</w:t>
            </w:r>
          </w:p>
        </w:tc>
      </w:tr>
      <w:tr>
        <w:tc>
          <w:tcPr>
            <w:tcW w:type="dxa" w:w="2880"/>
          </w:tcPr>
          <w:p>
            <w:r>
              <w:t>06_saiz_aggregate_and_regs.py</w:t>
            </w:r>
          </w:p>
        </w:tc>
        <w:tc>
          <w:tcPr>
            <w:tcW w:type="dxa" w:w="2880"/>
          </w:tcPr>
          <w:p>
            <w:r>
              <w:t>Saiz MSA elasticity dosyasını CBSA/metro isim eşlemesi ile CBSA’ya map eder; county-ağırlıklarıyla state’e agregasyon yapar. Sonra cross-state regresyon tablolarını üretir.</w:t>
            </w:r>
          </w:p>
        </w:tc>
        <w:tc>
          <w:tcPr>
            <w:tcW w:type="dxa" w:w="2880"/>
          </w:tcPr>
          <w:p>
            <w:r>
              <w:t>saiz_state_aggregated.csv, tables/reg_results.csv</w:t>
            </w:r>
          </w:p>
        </w:tc>
      </w:tr>
      <w:tr>
        <w:tc>
          <w:tcPr>
            <w:tcW w:type="dxa" w:w="2880"/>
          </w:tcPr>
          <w:p>
            <w:r>
              <w:t>07_viz_maps_and_scatter.py</w:t>
            </w:r>
          </w:p>
        </w:tc>
        <w:tc>
          <w:tcPr>
            <w:tcW w:type="dxa" w:w="2880"/>
          </w:tcPr>
          <w:p>
            <w:r>
              <w:t>Plotly ile state-level choropleth haritalar ve scatter plot’lar (trendline ile) üretir.</w:t>
            </w:r>
          </w:p>
        </w:tc>
        <w:tc>
          <w:tcPr>
            <w:tcW w:type="dxa" w:w="2880"/>
          </w:tcPr>
          <w:p>
            <w:r>
              <w:t>maps/*.html, figures/*.html</w:t>
            </w:r>
          </w:p>
        </w:tc>
      </w:tr>
      <w:tr>
        <w:tc>
          <w:tcPr>
            <w:tcW w:type="dxa" w:w="2880"/>
          </w:tcPr>
          <w:p>
            <w:r>
              <w:t>08_make_summary_tables.py</w:t>
            </w:r>
          </w:p>
        </w:tc>
        <w:tc>
          <w:tcPr>
            <w:tcW w:type="dxa" w:w="2880"/>
          </w:tcPr>
          <w:p>
            <w:r>
              <w:t>Top/Bottom 10 listeleri ve temel tanımlayıcı istatistikleri Excel’e döker.</w:t>
            </w:r>
          </w:p>
        </w:tc>
        <w:tc>
          <w:tcPr>
            <w:tcW w:type="dxa" w:w="2880"/>
          </w:tcPr>
          <w:p>
            <w:r>
              <w:t>tables/summary_tables.xlsx</w:t>
            </w:r>
          </w:p>
        </w:tc>
      </w:tr>
      <w:tr>
        <w:tc>
          <w:tcPr>
            <w:tcW w:type="dxa" w:w="2880"/>
          </w:tcPr>
          <w:p>
            <w:r>
              <w:t>09_export_paper_ready_tables.py</w:t>
            </w:r>
          </w:p>
        </w:tc>
        <w:tc>
          <w:tcPr>
            <w:tcW w:type="dxa" w:w="2880"/>
          </w:tcPr>
          <w:p>
            <w:r>
              <w:t>Paper’a yapıştırmaya uygun formatta (Excel/LaTeX/Markdown) tablolar ve kısa sonuç metni üretir.</w:t>
            </w:r>
          </w:p>
        </w:tc>
        <w:tc>
          <w:tcPr>
            <w:tcW w:type="dxa" w:w="2880"/>
          </w:tcPr>
          <w:p>
            <w:r>
              <w:t>tables/paper_ready_tables.xlsx/.tex/.md, tables/results_snippets.txt</w:t>
            </w:r>
          </w:p>
        </w:tc>
      </w:tr>
      <w:tr>
        <w:tc>
          <w:tcPr>
            <w:tcW w:type="dxa" w:w="2880"/>
          </w:tcPr>
          <w:p>
            <w:r>
              <w:t>10_robustness_grid.py</w:t>
            </w:r>
          </w:p>
        </w:tc>
        <w:tc>
          <w:tcPr>
            <w:tcW w:type="dxa" w:w="2880"/>
          </w:tcPr>
          <w:p>
            <w:r>
              <w:t>Alternatif shock tanımları ve farklı lag uzunluklarında sensitivity + cross-state regresyonları otomatik koşturur.</w:t>
            </w:r>
          </w:p>
        </w:tc>
        <w:tc>
          <w:tcPr>
            <w:tcW w:type="dxa" w:w="2880"/>
          </w:tcPr>
          <w:p>
            <w:r>
              <w:t>tables/robustness_grid.xlsx/.csv</w:t>
            </w:r>
          </w:p>
        </w:tc>
      </w:tr>
      <w:tr>
        <w:tc>
          <w:tcPr>
            <w:tcW w:type="dxa" w:w="2880"/>
          </w:tcPr>
          <w:p>
            <w:r>
              <w:t>11_summarize_robustness.py</w:t>
            </w:r>
          </w:p>
        </w:tc>
        <w:tc>
          <w:tcPr>
            <w:tcW w:type="dxa" w:w="2880"/>
          </w:tcPr>
          <w:p>
            <w:r>
              <w:t>Robustness grid’i pivotlayıp (özellikle multivariate model için) okunabilir özet tablolar üretir.</w:t>
            </w:r>
          </w:p>
        </w:tc>
        <w:tc>
          <w:tcPr>
            <w:tcW w:type="dxa" w:w="2880"/>
          </w:tcPr>
          <w:p>
            <w:r>
              <w:t>tables/robustness_summary.xlsx, tables/robustness_snippet.txt</w:t>
            </w:r>
          </w:p>
        </w:tc>
      </w:tr>
    </w:tbl>
    <w:p>
      <w:pPr>
        <w:pStyle w:val="Heading1"/>
      </w:pPr>
      <w:r>
        <w:t>5) Paper’da kullanılacak ana çıktılar ve kullanım yeri</w:t>
      </w:r>
    </w:p>
    <w:p>
      <w:pPr>
        <w:pStyle w:val="Heading2"/>
      </w:pPr>
      <w:r>
        <w:t>5.1 State sensitivities (ana sonuç nesneleri)</w:t>
      </w:r>
    </w:p>
    <w:p>
      <w:r>
        <w:t>• state_price_sensitivity.csv: Her eyalet için mortgage rate shock’a karşı 1 yıllık kümülatif HPI tepkisi (price sensitivity).</w:t>
      </w:r>
    </w:p>
    <w:p>
      <w:r>
        <w:t>• state_permits_sensitivity.csv: Her eyalet için aynı shock’a karşı permits tepkisi (permits sensitivity).</w:t>
      </w:r>
    </w:p>
    <w:p>
      <w:r>
        <w:t>Kullanım: Haritalar, Top/Bottom listeleri, ve permits kanalı analizi (scatter/OLS).</w:t>
      </w:r>
    </w:p>
    <w:p>
      <w:pPr>
        <w:pStyle w:val="Heading2"/>
      </w:pPr>
      <w:r>
        <w:t>5.2 Arz esnekliği (Saiz) – eyalet düzeyi</w:t>
      </w:r>
    </w:p>
    <w:p>
      <w:r>
        <w:t>• saiz_state_aggregated.csv: Saiz MSA elasticity ölçülerinin eyalet düzeyine agregasyonu.</w:t>
      </w:r>
    </w:p>
    <w:p>
      <w:r>
        <w:t>Kullanım: Price sensitivity ile arz esnekliği arasındaki cross-state ilişki (scatter ve regression).</w:t>
      </w:r>
    </w:p>
    <w:p>
      <w:pPr>
        <w:pStyle w:val="Heading2"/>
      </w:pPr>
      <w:r>
        <w:t>5.3 Regresyon tabloları</w:t>
      </w:r>
    </w:p>
    <w:p>
      <w:r>
        <w:t>• tables/reg_results.csv: Cross-state OLS (robust SE) sonuçları; price sensitivity’nin Saiz ve permits ile ilişkisi.</w:t>
      </w:r>
    </w:p>
    <w:p>
      <w:r>
        <w:t>• tables/paper_ready_tables.xlsx / .tex / .md: Paper’a doğrudan alınabilir tablolar.</w:t>
      </w:r>
    </w:p>
    <w:p>
      <w:r>
        <w:t>• tables/results_snippets.txt: Sonuç bölümüne yapıştırılabilir kısa metin taslağı.</w:t>
      </w:r>
    </w:p>
    <w:p>
      <w:pPr>
        <w:pStyle w:val="Heading2"/>
      </w:pPr>
      <w:r>
        <w:t>5.4 Robustness</w:t>
      </w:r>
    </w:p>
    <w:p>
      <w:r>
        <w:t>• tables/robustness_grid.xlsx/.csv: Alternatif shock tanımı + lag uzunlukları altında tüm grid sonuçları.</w:t>
      </w:r>
    </w:p>
    <w:p>
      <w:r>
        <w:t>• tables/robustness_summary.xlsx: Grid’in özet pivot tabloları (multivariate model odaklı).</w:t>
      </w:r>
    </w:p>
    <w:p>
      <w:r>
        <w:t>Kullanım: Paper’da robustness alt başlığı ve ek tablolar (appendix).</w:t>
      </w:r>
    </w:p>
    <w:p>
      <w:pPr>
        <w:pStyle w:val="Heading1"/>
      </w:pPr>
      <w:r>
        <w:t>6) Yeniden üretim (re-run) için hızlı rehber</w:t>
      </w:r>
    </w:p>
    <w:p>
      <w:r>
        <w:t>1) data/raw içine hpi_master.csv, hpi_dictionary.xlsx ve saiz_elasticities.dta koy.</w:t>
      </w:r>
    </w:p>
    <w:p>
      <w:r>
        <w:t>2) src içindeki scriptleri sırasıyla çalıştır: 01 → 11.</w:t>
      </w:r>
    </w:p>
    <w:p>
      <w:r>
        <w:t>3) Paper’a girecek ana dosyalar: state_price_sensitivity.csv, state_permits_sensitivity.csv, saiz_state_aggregated.csv, reg_results.csv, paper_ready_tables.* ve robustness_summary.xlsx.</w:t>
      </w:r>
    </w:p>
    <w:p>
      <w:r>
        <w:t>4) Harita/scatter çıktıları HTML’dir; tarayıcıda açıp görselleri sunum veya ekler için kullan. (İstersen daha sonra PNG export eklenebilir.)</w:t>
      </w:r>
    </w:p>
    <w:p>
      <w:pPr>
        <w:pStyle w:val="Heading1"/>
      </w:pPr>
      <w:r>
        <w:t>7) Notlar</w:t>
      </w:r>
    </w:p>
    <w:p>
      <w:r>
        <w:t>• Zaman ekseni uyumu: Panel ve rate serileri quarter-start/quarter-end farkı gösterebilir. Robustness script’inde to_period('Q') ile hizalama yapıldı.</w:t>
      </w:r>
    </w:p>
    <w:p>
      <w:r>
        <w:t>• Saiz coverage: Saiz MSA seti tüm eyaletleri kapsamayabilir; bu yüzden Saiz’li regresyonlarda N (ör. 42) düşebilir.</w:t>
      </w:r>
    </w:p>
    <w:p>
      <w:r>
        <w:t>• İstatistiksel anlamlılık: state time-series regresyonları HAC (Newey-West) ile; cross-state regresyonları robust (HC1) ile raporlanır.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