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22222"/>
          <w:sz w:val="26"/>
        </w:rPr>
        <w:t>DERİN ÖĞRENME  —  FİNAL PROJESİ</w:t>
      </w:r>
    </w:p>
    <w:p>
      <w:pPr>
        <w:spacing w:before="40" w:after="80"/>
        <w:pBdr>
          <w:bottom w:val="single" w:sz="6" w:space="1" w:color="222222"/>
        </w:pBdr>
      </w:pPr>
    </w:p>
    <w:p>
      <w:pPr>
        <w:spacing w:before="200"/>
        <w:jc w:val="center"/>
      </w:pPr>
      <w:r>
        <w:rPr>
          <w:b/>
          <w:color w:val="111111"/>
          <w:sz w:val="52"/>
        </w:rPr>
        <w:t>Görsel Soru Cevaplama (VQA)</w:t>
      </w:r>
    </w:p>
    <w:p>
      <w:pPr>
        <w:spacing w:before="40" w:after="80"/>
        <w:pBdr>
          <w:bottom w:val="single" w:sz="6" w:space="1" w:color="222222"/>
        </w:pBdr>
      </w:pPr>
    </w:p>
    <w:p>
      <w:pPr>
        <w:spacing w:before="120"/>
        <w:jc w:val="center"/>
      </w:pPr>
      <w:r>
        <w:rPr>
          <w:i/>
          <w:color w:val="444444"/>
          <w:sz w:val="24"/>
        </w:rPr>
        <w:t>CNN+LSTM  ·  Yığılmış Dikkat Ağı (SAN)  ·  BLIP-2 Transformer</w:t>
      </w:r>
    </w:p>
    <w:p/>
    <w:p/>
    <w:p/>
    <w:p/>
    <w:p/>
    <w:p>
      <w:pPr>
        <w:spacing w:before="80"/>
        <w:jc w:val="center"/>
      </w:pPr>
      <w:r>
        <w:rPr>
          <w:b/>
          <w:color w:val="111111"/>
          <w:sz w:val="32"/>
        </w:rPr>
        <w:t>Ahmet Ayvalık</w:t>
      </w:r>
    </w:p>
    <w:p>
      <w:pPr>
        <w:spacing w:before="80"/>
        <w:jc w:val="center"/>
      </w:pPr>
      <w:r>
        <w:rPr>
          <w:b/>
          <w:color w:val="222222"/>
          <w:sz w:val="26"/>
        </w:rPr>
        <w:t>230212041</w:t>
      </w:r>
    </w:p>
    <w:p>
      <w:pPr>
        <w:spacing w:before="80"/>
        <w:jc w:val="center"/>
      </w:pPr>
      <w:r>
        <w:rPr>
          <w:b w:val="0"/>
          <w:color w:val="777777"/>
          <w:sz w:val="22"/>
        </w:rPr>
        <w:t>Ders: Derin Öğrenme  |  Mayıs 2026</w:t>
      </w:r>
    </w:p>
    <w:p>
      <w:pPr>
        <w:spacing w:before="80"/>
        <w:jc w:val="center"/>
      </w:pPr>
      <w:r>
        <w:rPr>
          <w:b w:val="0"/>
          <w:color w:val="777777"/>
          <w:sz w:val="20"/>
        </w:rPr>
        <w:t>Donanım: NVIDIA RTX 4060 Laptop GPU (8 GB VRAM)</w:t>
      </w:r>
    </w:p>
    <w:p>
      <w:r>
        <w:br w:type="page"/>
      </w:r>
    </w:p>
    <w:p>
      <w:pPr>
        <w:spacing w:before="280" w:after="40"/>
      </w:pPr>
      <w:r>
        <w:rPr>
          <w:b/>
          <w:color w:val="111111"/>
          <w:sz w:val="32"/>
        </w:rPr>
        <w:t>Yönetici Özeti</w:t>
      </w:r>
    </w:p>
    <w:p>
      <w:pPr>
        <w:spacing w:before="40" w:after="80"/>
        <w:pBdr>
          <w:bottom w:val="single" w:sz="6" w:space="1" w:color="222222"/>
        </w:pBdr>
      </w:pPr>
    </w:p>
    <w:p>
      <w:pPr>
        <w:spacing w:before="80" w:after="80"/>
        <w:ind w:left="283"/>
        <w:pBdr>
          <w:left w:val="single" w:sz="12" w:space="4" w:color="333333"/>
        </w:pBdr>
      </w:pPr>
      <w:r>
        <w:rPr>
          <w:i/>
          <w:color w:val="222222"/>
          <w:sz w:val="20"/>
        </w:rPr>
        <w:t>Bu proje, VQA alanında üç farklı derin öğrenme mimarisini ortak protokol altında karşılaştırmakta ve 2015'ten 2023'e uzanan dokuz yıllık gelişimi somut deneysel kanıtlarla ortaya koymaktadır.</w:t>
      </w:r>
    </w:p>
    <w:p>
      <w:pPr>
        <w:spacing w:before="40" w:after="60" w:line="280" w:lineRule="exact"/>
        <w:jc w:val="both"/>
      </w:pPr>
      <w:r>
        <w:rPr>
          <w:i w:val="0"/>
          <w:color w:val="111111"/>
          <w:sz w:val="20"/>
        </w:rPr>
        <w:t>CNN+LSTM, SAN ve BLIP-2 modelleri VQA v2 veri seti üzerinde eğitilmiş ve değerlendirilmiştir. En yüksek doğruluk %41.20 ile CNN+LSTM'de elde edilmiştir. Question-Only baseline'ın %18.35 vermesi, görsel bilginin +22.85 puanlık katkısını kanıtlamıştır.</w:t>
      </w:r>
    </w:p>
    <w:p/>
    <w:tbl>
      <w:tblPr>
        <w:tblStyle w:val="TableGrid"/>
        <w:tblW w:type="auto" w:w="0"/>
        <w:jc w:val="center"/>
        <w:tblLook w:firstColumn="1" w:firstRow="1" w:lastColumn="0" w:lastRow="0" w:noHBand="0" w:noVBand="1" w:val="04A0"/>
      </w:tblPr>
      <w:tblGrid>
        <w:gridCol w:w="3118"/>
        <w:gridCol w:w="3118"/>
        <w:gridCol w:w="3118"/>
      </w:tblGrid>
      <w:tr>
        <w:tc>
          <w:tcPr>
            <w:tcW w:type="dxa" w:w="3402"/>
            <w:shd w:val="clear" w:color="auto" w:fill="222222"/>
          </w:tcPr>
          <w:p>
            <w:pPr>
              <w:jc w:val="center"/>
            </w:pPr>
            <w:r>
              <w:rPr>
                <w:b/>
                <w:color w:val="FFFFFF"/>
                <w:sz w:val="18"/>
              </w:rPr>
              <w:t>Model</w:t>
            </w:r>
          </w:p>
        </w:tc>
        <w:tc>
          <w:tcPr>
            <w:tcW w:type="dxa" w:w="1701"/>
            <w:shd w:val="clear" w:color="auto" w:fill="222222"/>
          </w:tcPr>
          <w:p>
            <w:pPr>
              <w:jc w:val="center"/>
            </w:pPr>
            <w:r>
              <w:rPr>
                <w:b/>
                <w:color w:val="FFFFFF"/>
                <w:sz w:val="18"/>
              </w:rPr>
              <w:t>Doğruluk</w:t>
            </w:r>
          </w:p>
        </w:tc>
        <w:tc>
          <w:tcPr>
            <w:tcW w:type="dxa" w:w="4252"/>
            <w:shd w:val="clear" w:color="auto" w:fill="222222"/>
          </w:tcPr>
          <w:p>
            <w:pPr>
              <w:jc w:val="center"/>
            </w:pPr>
            <w:r>
              <w:rPr>
                <w:b/>
                <w:color w:val="FFFFFF"/>
                <w:sz w:val="18"/>
              </w:rPr>
              <w:t>Tür</w:t>
            </w:r>
          </w:p>
        </w:tc>
      </w:tr>
      <w:tr>
        <w:tc>
          <w:tcPr>
            <w:tcW w:type="dxa" w:w="3402"/>
            <w:shd w:val="clear" w:color="auto" w:fill="F5F5F5"/>
          </w:tcPr>
          <w:p>
            <w:pPr>
              <w:jc w:val="center"/>
            </w:pPr>
            <w:r>
              <w:rPr>
                <w:color w:val="111111"/>
                <w:sz w:val="18"/>
              </w:rPr>
              <w:t>Question-Only</w:t>
            </w:r>
          </w:p>
        </w:tc>
        <w:tc>
          <w:tcPr>
            <w:tcW w:type="dxa" w:w="1701"/>
            <w:shd w:val="clear" w:color="auto" w:fill="F5F5F5"/>
          </w:tcPr>
          <w:p>
            <w:pPr>
              <w:jc w:val="center"/>
            </w:pPr>
            <w:r>
              <w:rPr>
                <w:color w:val="111111"/>
                <w:sz w:val="18"/>
              </w:rPr>
              <w:t>%18.35</w:t>
            </w:r>
          </w:p>
        </w:tc>
        <w:tc>
          <w:tcPr>
            <w:tcW w:type="dxa" w:w="4252"/>
            <w:shd w:val="clear" w:color="auto" w:fill="F5F5F5"/>
          </w:tcPr>
          <w:p>
            <w:pPr>
              <w:jc w:val="center"/>
            </w:pPr>
            <w:r>
              <w:rPr>
                <w:color w:val="111111"/>
                <w:sz w:val="18"/>
              </w:rPr>
              <w:t>Sadece Metin</w:t>
            </w:r>
          </w:p>
        </w:tc>
      </w:tr>
      <w:tr>
        <w:tc>
          <w:tcPr>
            <w:tcW w:type="dxa" w:w="3402"/>
            <w:shd w:val="clear" w:color="auto" w:fill="FFFFFF"/>
          </w:tcPr>
          <w:p>
            <w:pPr>
              <w:jc w:val="center"/>
            </w:pPr>
            <w:r>
              <w:rPr>
                <w:color w:val="111111"/>
                <w:sz w:val="18"/>
              </w:rPr>
              <w:t>BLIP-2 Zero-shot</w:t>
            </w:r>
          </w:p>
        </w:tc>
        <w:tc>
          <w:tcPr>
            <w:tcW w:type="dxa" w:w="1701"/>
            <w:shd w:val="clear" w:color="auto" w:fill="FFFFFF"/>
          </w:tcPr>
          <w:p>
            <w:pPr>
              <w:jc w:val="center"/>
            </w:pPr>
            <w:r>
              <w:rPr>
                <w:color w:val="111111"/>
                <w:sz w:val="18"/>
              </w:rPr>
              <w:t>%33.33</w:t>
            </w:r>
          </w:p>
        </w:tc>
        <w:tc>
          <w:tcPr>
            <w:tcW w:type="dxa" w:w="4252"/>
            <w:shd w:val="clear" w:color="auto" w:fill="FFFFFF"/>
          </w:tcPr>
          <w:p>
            <w:pPr>
              <w:jc w:val="center"/>
            </w:pPr>
            <w:r>
              <w:rPr>
                <w:color w:val="111111"/>
                <w:sz w:val="18"/>
              </w:rPr>
              <w:t>Transformer (eğitimsiz)</w:t>
            </w:r>
          </w:p>
        </w:tc>
      </w:tr>
      <w:tr>
        <w:tc>
          <w:tcPr>
            <w:tcW w:type="dxa" w:w="3402"/>
            <w:shd w:val="clear" w:color="auto" w:fill="F5F5F5"/>
          </w:tcPr>
          <w:p>
            <w:pPr>
              <w:jc w:val="center"/>
            </w:pPr>
            <w:r>
              <w:rPr>
                <w:color w:val="111111"/>
                <w:sz w:val="18"/>
              </w:rPr>
              <w:t>SAN</w:t>
            </w:r>
          </w:p>
        </w:tc>
        <w:tc>
          <w:tcPr>
            <w:tcW w:type="dxa" w:w="1701"/>
            <w:shd w:val="clear" w:color="auto" w:fill="F5F5F5"/>
          </w:tcPr>
          <w:p>
            <w:pPr>
              <w:jc w:val="center"/>
            </w:pPr>
            <w:r>
              <w:rPr>
                <w:color w:val="111111"/>
                <w:sz w:val="18"/>
              </w:rPr>
              <w:t>%35.80</w:t>
            </w:r>
          </w:p>
        </w:tc>
        <w:tc>
          <w:tcPr>
            <w:tcW w:type="dxa" w:w="4252"/>
            <w:shd w:val="clear" w:color="auto" w:fill="F5F5F5"/>
          </w:tcPr>
          <w:p>
            <w:pPr>
              <w:jc w:val="center"/>
            </w:pPr>
            <w:r>
              <w:rPr>
                <w:color w:val="111111"/>
                <w:sz w:val="18"/>
              </w:rPr>
              <w:t>Dikkat Ağı</w:t>
            </w:r>
          </w:p>
        </w:tc>
      </w:tr>
      <w:tr>
        <w:tc>
          <w:tcPr>
            <w:tcW w:type="dxa" w:w="3402"/>
            <w:shd w:val="clear" w:color="auto" w:fill="FFFFFF"/>
          </w:tcPr>
          <w:p>
            <w:pPr>
              <w:jc w:val="center"/>
            </w:pPr>
            <w:r>
              <w:rPr>
                <w:color w:val="111111"/>
                <w:sz w:val="18"/>
              </w:rPr>
              <w:t>CNN+LSTM</w:t>
            </w:r>
          </w:p>
        </w:tc>
        <w:tc>
          <w:tcPr>
            <w:tcW w:type="dxa" w:w="1701"/>
            <w:shd w:val="clear" w:color="auto" w:fill="FFFFFF"/>
          </w:tcPr>
          <w:p>
            <w:pPr>
              <w:jc w:val="center"/>
            </w:pPr>
            <w:r>
              <w:rPr>
                <w:color w:val="111111"/>
                <w:sz w:val="18"/>
              </w:rPr>
              <w:t>%41.20</w:t>
            </w:r>
          </w:p>
        </w:tc>
        <w:tc>
          <w:tcPr>
            <w:tcW w:type="dxa" w:w="4252"/>
            <w:shd w:val="clear" w:color="auto" w:fill="FFFFFF"/>
          </w:tcPr>
          <w:p>
            <w:pPr>
              <w:jc w:val="center"/>
            </w:pPr>
            <w:r>
              <w:rPr>
                <w:color w:val="111111"/>
                <w:sz w:val="18"/>
              </w:rPr>
              <w:t>Klasik CNN+RNN</w:t>
            </w:r>
          </w:p>
        </w:tc>
      </w:tr>
    </w:tbl>
    <w:p>
      <w:pPr>
        <w:spacing w:after="80"/>
      </w:pPr>
    </w:p>
    <w:p>
      <w:pPr>
        <w:spacing w:before="280" w:after="40"/>
      </w:pPr>
      <w:r>
        <w:rPr>
          <w:b/>
          <w:color w:val="111111"/>
          <w:sz w:val="32"/>
        </w:rPr>
        <w:t>1. Giriş</w:t>
      </w:r>
    </w:p>
    <w:p>
      <w:pPr>
        <w:spacing w:before="40" w:after="80"/>
        <w:pBdr>
          <w:bottom w:val="single" w:sz="6" w:space="1" w:color="222222"/>
        </w:pBdr>
      </w:pPr>
    </w:p>
    <w:p>
      <w:pPr>
        <w:spacing w:before="40" w:after="60" w:line="280" w:lineRule="exact"/>
        <w:jc w:val="both"/>
      </w:pPr>
      <w:r>
        <w:rPr>
          <w:i w:val="0"/>
          <w:color w:val="111111"/>
          <w:sz w:val="20"/>
        </w:rPr>
        <w:t>Görsel Soru Cevaplama (VQA), bir görüntüyü ve bu görüntüye ilişkin doğal dil sorusunu girdi olarak alan; kısa, doğru ve açık uçlu bir cevap üreten çok kipli (multimodal) bir yapay zeka görevidir. VQA, bilgisayarla görme ve doğal dil işlemenin kesişim noktasında yer alması nedeniyle, her iki alanın temel araştırma sorularını aynı anda sınamaktadır.</w:t>
      </w:r>
    </w:p>
    <w:p>
      <w:pPr>
        <w:spacing w:before="40" w:after="60" w:line="280" w:lineRule="exact"/>
        <w:jc w:val="both"/>
      </w:pPr>
      <w:r>
        <w:rPr>
          <w:i w:val="0"/>
          <w:color w:val="111111"/>
          <w:sz w:val="20"/>
        </w:rPr>
        <w:t>Bu projenin çıkış noktası, derste incelenen Ren ve arkadaşlarının NeurIPS 2015 bildirisidir. Söz konusu çalışma, erken dönem uçtan uca VQA yaklaşımlarını sistematik biçimde karşılaştırmış ve COCO-QA veri setini önermiştir. Ancak alanın o tarihten bu yana büyük bir dönüşüm geçirdiği açıktır: dikkat mekanizmaları, nesne bölgesi tabanlı temsiller ve büyük ölçekli ön eğitimli transformer mimarileri sırayla en iyi sonuçları üstlenmiştir.</w:t>
      </w:r>
    </w:p>
    <w:p>
      <w:pPr>
        <w:spacing w:before="40" w:after="60" w:line="280" w:lineRule="exact"/>
        <w:jc w:val="both"/>
      </w:pPr>
      <w:r>
        <w:rPr>
          <w:i w:val="0"/>
          <w:color w:val="111111"/>
          <w:sz w:val="20"/>
        </w:rPr>
        <w:t>Bu proje, söz konusu tarihsel akışı yeniden üretmekte; CNN+LSTM, SAN ve BLIP-2'yi aynı veri seti ve değerlendirme protokolü altında karşılaştırarak hem nicel hem de nitel bulgular sunmaktadır. Ayrıca dil önyargısını ölçmek amacıyla Question-Only baseline analizi yapılmış; veri miktarının doğruluk üzerindeki etkisi deneysel olarak incelenmiştir.</w:t>
      </w:r>
    </w:p>
    <w:p>
      <w:pPr>
        <w:spacing w:before="200" w:after="60"/>
      </w:pPr>
      <w:r>
        <w:rPr>
          <w:b/>
          <w:color w:val="222222"/>
          <w:sz w:val="26"/>
        </w:rPr>
        <w:t>1.1 Araştırma Soruları</w:t>
      </w:r>
    </w:p>
    <w:p>
      <w:pPr>
        <w:pStyle w:val="ListBullet"/>
        <w:spacing w:before="20" w:after="20"/>
      </w:pPr>
      <w:r>
        <w:rPr>
          <w:color w:val="111111"/>
          <w:sz w:val="20"/>
        </w:rPr>
        <w:t>Soru metni tek başına ne kadar güçlü bir yanlılık sinyali taşımaktadır?</w:t>
      </w:r>
    </w:p>
    <w:p>
      <w:pPr>
        <w:pStyle w:val="ListBullet"/>
        <w:spacing w:before="20" w:after="20"/>
      </w:pPr>
      <w:r>
        <w:rPr>
          <w:color w:val="111111"/>
          <w:sz w:val="20"/>
        </w:rPr>
        <w:t>Dikkat mekanizması sınırlı veriyle global görüntü özelliğine göre fayda sağlamakta mıdır?</w:t>
      </w:r>
    </w:p>
    <w:p>
      <w:pPr>
        <w:pStyle w:val="ListBullet"/>
        <w:spacing w:before="20" w:after="20"/>
      </w:pPr>
      <w:r>
        <w:rPr>
          <w:color w:val="111111"/>
          <w:sz w:val="20"/>
        </w:rPr>
        <w:t>Ön eğitimli transformer modeli zero-shot olarak klasik modellerle nasıl karşılaştırılabilir?</w:t>
      </w:r>
    </w:p>
    <w:p>
      <w:pPr>
        <w:pStyle w:val="ListBullet"/>
        <w:spacing w:before="20" w:after="20"/>
      </w:pPr>
      <w:r>
        <w:rPr>
          <w:color w:val="111111"/>
          <w:sz w:val="20"/>
        </w:rPr>
        <w:t>Veri miktarı artışı, hiperparametre optimizasyonu yapılmadan doğruluğu artırır mı?</w:t>
      </w:r>
    </w:p>
    <w:p>
      <w:pPr>
        <w:spacing w:before="280" w:after="40"/>
      </w:pPr>
      <w:r>
        <w:rPr>
          <w:b/>
          <w:color w:val="111111"/>
          <w:sz w:val="32"/>
        </w:rPr>
        <w:t>2. İlgili Çalışmalar</w:t>
      </w:r>
    </w:p>
    <w:p>
      <w:pPr>
        <w:spacing w:before="40" w:after="80"/>
        <w:pBdr>
          <w:bottom w:val="single" w:sz="6" w:space="1" w:color="222222"/>
        </w:pBdr>
      </w:pPr>
    </w:p>
    <w:p>
      <w:pPr>
        <w:spacing w:before="200" w:after="60"/>
      </w:pPr>
      <w:r>
        <w:rPr>
          <w:b/>
          <w:color w:val="222222"/>
          <w:sz w:val="26"/>
        </w:rPr>
        <w:t>2.1 Klasik CNN+LSTM</w:t>
      </w:r>
    </w:p>
    <w:p>
      <w:pPr>
        <w:spacing w:before="40" w:after="60" w:line="280" w:lineRule="exact"/>
        <w:jc w:val="both"/>
      </w:pPr>
      <w:r>
        <w:rPr>
          <w:i w:val="0"/>
          <w:color w:val="111111"/>
          <w:sz w:val="20"/>
        </w:rPr>
        <w:t>Antol ve arkadaşları (2015) VQA benchmark'ı tanımlamıştır. Ren ve arkadaşları (2015) CNN+RNN yaklaşımlarını sistematik biçimde sınayarak COCO-QA veri setini önermiştir. Yayınlanan doğruluk değerleri: BOW %48.1, LSTM %53.3, IMG+BOW %55.9, 2-VIS+BLSTM %58.4.</w:t>
      </w:r>
    </w:p>
    <w:p>
      <w:pPr>
        <w:spacing w:before="200" w:after="60"/>
      </w:pPr>
      <w:r>
        <w:rPr>
          <w:b/>
          <w:color w:val="222222"/>
          <w:sz w:val="26"/>
        </w:rPr>
        <w:t>2.2 Dikkat Mekanizmaları</w:t>
      </w:r>
    </w:p>
    <w:p>
      <w:pPr>
        <w:spacing w:before="40" w:after="60" w:line="280" w:lineRule="exact"/>
        <w:jc w:val="both"/>
      </w:pPr>
      <w:r>
        <w:rPr>
          <w:i w:val="0"/>
          <w:color w:val="111111"/>
          <w:sz w:val="20"/>
        </w:rPr>
        <w:t>Yang ve arkadaşları (2016) SAN'ı önermiştir: görüntü üzerinde çok adımlı dikkat uygulanarak soruyla ilgili bölgeye odaklanılmaktadır. Anderson ve arkadaşları (2018) Faster R-CNN ile nesne bölgesi önerileri kullanan Bottom-Up/Top-Down modelini geliştirmiştir.</w:t>
      </w:r>
    </w:p>
    <w:p>
      <w:pPr>
        <w:spacing w:before="200" w:after="60"/>
      </w:pPr>
      <w:r>
        <w:rPr>
          <w:b/>
          <w:color w:val="222222"/>
          <w:sz w:val="26"/>
        </w:rPr>
        <w:t>2.3 Transformer Modelleri</w:t>
      </w:r>
    </w:p>
    <w:p>
      <w:pPr>
        <w:spacing w:before="40" w:after="60" w:line="280" w:lineRule="exact"/>
        <w:jc w:val="both"/>
      </w:pPr>
      <w:r>
        <w:rPr>
          <w:i w:val="0"/>
          <w:color w:val="111111"/>
          <w:sz w:val="20"/>
        </w:rPr>
        <w:t>Li ve arkadaşları (2023) BLIP-2'yi sunmuştur: donmuş CLIP görüntü kodlayıcısı ile OPT-2.7B dil modelini bağlayan Q-Former mimarisi, hesaplama maliyetini düşürürken güçlü transfer başarısı sağlamaktadır.</w:t>
      </w:r>
    </w:p>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222222"/>
          </w:tcPr>
          <w:p>
            <w:pPr>
              <w:jc w:val="center"/>
            </w:pPr>
            <w:r>
              <w:rPr>
                <w:b/>
                <w:color w:val="FFFFFF"/>
                <w:sz w:val="18"/>
              </w:rPr>
              <w:t>Makale</w:t>
            </w:r>
          </w:p>
        </w:tc>
        <w:tc>
          <w:tcPr>
            <w:tcW w:type="dxa" w:w="850"/>
            <w:shd w:val="clear" w:color="auto" w:fill="222222"/>
          </w:tcPr>
          <w:p>
            <w:pPr>
              <w:jc w:val="center"/>
            </w:pPr>
            <w:r>
              <w:rPr>
                <w:b/>
                <w:color w:val="FFFFFF"/>
                <w:sz w:val="18"/>
              </w:rPr>
              <w:t>Yıl</w:t>
            </w:r>
          </w:p>
        </w:tc>
        <w:tc>
          <w:tcPr>
            <w:tcW w:type="dxa" w:w="6520"/>
            <w:shd w:val="clear" w:color="auto" w:fill="222222"/>
          </w:tcPr>
          <w:p>
            <w:pPr>
              <w:jc w:val="center"/>
            </w:pPr>
            <w:r>
              <w:rPr>
                <w:b/>
                <w:color w:val="FFFFFF"/>
                <w:sz w:val="18"/>
              </w:rPr>
              <w:t>Katkı</w:t>
            </w:r>
          </w:p>
        </w:tc>
      </w:tr>
      <w:tr>
        <w:tc>
          <w:tcPr>
            <w:tcW w:type="dxa" w:w="1984"/>
            <w:shd w:val="clear" w:color="auto" w:fill="F5F5F5"/>
          </w:tcPr>
          <w:p>
            <w:pPr>
              <w:jc w:val="center"/>
            </w:pPr>
            <w:r>
              <w:rPr>
                <w:color w:val="111111"/>
                <w:sz w:val="18"/>
              </w:rPr>
              <w:t>Antol et al.</w:t>
            </w:r>
          </w:p>
        </w:tc>
        <w:tc>
          <w:tcPr>
            <w:tcW w:type="dxa" w:w="850"/>
            <w:shd w:val="clear" w:color="auto" w:fill="F5F5F5"/>
          </w:tcPr>
          <w:p>
            <w:pPr>
              <w:jc w:val="center"/>
            </w:pPr>
            <w:r>
              <w:rPr>
                <w:color w:val="111111"/>
                <w:sz w:val="18"/>
              </w:rPr>
              <w:t>2015</w:t>
            </w:r>
          </w:p>
        </w:tc>
        <w:tc>
          <w:tcPr>
            <w:tcW w:type="dxa" w:w="6520"/>
            <w:shd w:val="clear" w:color="auto" w:fill="F5F5F5"/>
          </w:tcPr>
          <w:p>
            <w:pPr>
              <w:jc w:val="center"/>
            </w:pPr>
            <w:r>
              <w:rPr>
                <w:color w:val="111111"/>
                <w:sz w:val="18"/>
              </w:rPr>
              <w:t>VQA benchmark, değerlendirme anlayışının temeli</w:t>
            </w:r>
          </w:p>
        </w:tc>
      </w:tr>
      <w:tr>
        <w:tc>
          <w:tcPr>
            <w:tcW w:type="dxa" w:w="1984"/>
            <w:shd w:val="clear" w:color="auto" w:fill="FFFFFF"/>
          </w:tcPr>
          <w:p>
            <w:pPr>
              <w:jc w:val="center"/>
            </w:pPr>
            <w:r>
              <w:rPr>
                <w:color w:val="111111"/>
                <w:sz w:val="18"/>
              </w:rPr>
              <w:t>Ren et al.</w:t>
            </w:r>
          </w:p>
        </w:tc>
        <w:tc>
          <w:tcPr>
            <w:tcW w:type="dxa" w:w="850"/>
            <w:shd w:val="clear" w:color="auto" w:fill="FFFFFF"/>
          </w:tcPr>
          <w:p>
            <w:pPr>
              <w:jc w:val="center"/>
            </w:pPr>
            <w:r>
              <w:rPr>
                <w:color w:val="111111"/>
                <w:sz w:val="18"/>
              </w:rPr>
              <w:t>2015</w:t>
            </w:r>
          </w:p>
        </w:tc>
        <w:tc>
          <w:tcPr>
            <w:tcW w:type="dxa" w:w="6520"/>
            <w:shd w:val="clear" w:color="auto" w:fill="FFFFFF"/>
          </w:tcPr>
          <w:p>
            <w:pPr>
              <w:jc w:val="center"/>
            </w:pPr>
            <w:r>
              <w:rPr>
                <w:color w:val="111111"/>
                <w:sz w:val="18"/>
              </w:rPr>
              <w:t>CNN+LSTM, COCO-QA veri üretimi</w:t>
            </w:r>
          </w:p>
        </w:tc>
      </w:tr>
      <w:tr>
        <w:tc>
          <w:tcPr>
            <w:tcW w:type="dxa" w:w="1984"/>
            <w:shd w:val="clear" w:color="auto" w:fill="F5F5F5"/>
          </w:tcPr>
          <w:p>
            <w:pPr>
              <w:jc w:val="center"/>
            </w:pPr>
            <w:r>
              <w:rPr>
                <w:color w:val="111111"/>
                <w:sz w:val="18"/>
              </w:rPr>
              <w:t>Yang et al.</w:t>
            </w:r>
          </w:p>
        </w:tc>
        <w:tc>
          <w:tcPr>
            <w:tcW w:type="dxa" w:w="850"/>
            <w:shd w:val="clear" w:color="auto" w:fill="F5F5F5"/>
          </w:tcPr>
          <w:p>
            <w:pPr>
              <w:jc w:val="center"/>
            </w:pPr>
            <w:r>
              <w:rPr>
                <w:color w:val="111111"/>
                <w:sz w:val="18"/>
              </w:rPr>
              <w:t>2016</w:t>
            </w:r>
          </w:p>
        </w:tc>
        <w:tc>
          <w:tcPr>
            <w:tcW w:type="dxa" w:w="6520"/>
            <w:shd w:val="clear" w:color="auto" w:fill="F5F5F5"/>
          </w:tcPr>
          <w:p>
            <w:pPr>
              <w:jc w:val="center"/>
            </w:pPr>
            <w:r>
              <w:rPr>
                <w:color w:val="111111"/>
                <w:sz w:val="18"/>
              </w:rPr>
              <w:t>Yığılmış Dikkat Ağı (SAN)</w:t>
            </w:r>
          </w:p>
        </w:tc>
      </w:tr>
      <w:tr>
        <w:tc>
          <w:tcPr>
            <w:tcW w:type="dxa" w:w="1984"/>
            <w:shd w:val="clear" w:color="auto" w:fill="FFFFFF"/>
          </w:tcPr>
          <w:p>
            <w:pPr>
              <w:jc w:val="center"/>
            </w:pPr>
            <w:r>
              <w:rPr>
                <w:color w:val="111111"/>
                <w:sz w:val="18"/>
              </w:rPr>
              <w:t>Anderson et al.</w:t>
            </w:r>
          </w:p>
        </w:tc>
        <w:tc>
          <w:tcPr>
            <w:tcW w:type="dxa" w:w="850"/>
            <w:shd w:val="clear" w:color="auto" w:fill="FFFFFF"/>
          </w:tcPr>
          <w:p>
            <w:pPr>
              <w:jc w:val="center"/>
            </w:pPr>
            <w:r>
              <w:rPr>
                <w:color w:val="111111"/>
                <w:sz w:val="18"/>
              </w:rPr>
              <w:t>2018</w:t>
            </w:r>
          </w:p>
        </w:tc>
        <w:tc>
          <w:tcPr>
            <w:tcW w:type="dxa" w:w="6520"/>
            <w:shd w:val="clear" w:color="auto" w:fill="FFFFFF"/>
          </w:tcPr>
          <w:p>
            <w:pPr>
              <w:jc w:val="center"/>
            </w:pPr>
            <w:r>
              <w:rPr>
                <w:color w:val="111111"/>
                <w:sz w:val="18"/>
              </w:rPr>
              <w:t>Bottom-Up/Top-Down dikkat mekanizması</w:t>
            </w:r>
          </w:p>
        </w:tc>
      </w:tr>
      <w:tr>
        <w:tc>
          <w:tcPr>
            <w:tcW w:type="dxa" w:w="1984"/>
            <w:shd w:val="clear" w:color="auto" w:fill="F5F5F5"/>
          </w:tcPr>
          <w:p>
            <w:pPr>
              <w:jc w:val="center"/>
            </w:pPr>
            <w:r>
              <w:rPr>
                <w:color w:val="111111"/>
                <w:sz w:val="18"/>
              </w:rPr>
              <w:t>Li et al.</w:t>
            </w:r>
          </w:p>
        </w:tc>
        <w:tc>
          <w:tcPr>
            <w:tcW w:type="dxa" w:w="850"/>
            <w:shd w:val="clear" w:color="auto" w:fill="F5F5F5"/>
          </w:tcPr>
          <w:p>
            <w:pPr>
              <w:jc w:val="center"/>
            </w:pPr>
            <w:r>
              <w:rPr>
                <w:color w:val="111111"/>
                <w:sz w:val="18"/>
              </w:rPr>
              <w:t>2023</w:t>
            </w:r>
          </w:p>
        </w:tc>
        <w:tc>
          <w:tcPr>
            <w:tcW w:type="dxa" w:w="6520"/>
            <w:shd w:val="clear" w:color="auto" w:fill="F5F5F5"/>
          </w:tcPr>
          <w:p>
            <w:pPr>
              <w:jc w:val="center"/>
            </w:pPr>
            <w:r>
              <w:rPr>
                <w:color w:val="111111"/>
                <w:sz w:val="18"/>
              </w:rPr>
              <w:t>BLIP-2, verimli çok kipli ön eğitim</w:t>
            </w:r>
          </w:p>
        </w:tc>
      </w:tr>
    </w:tbl>
    <w:p>
      <w:pPr>
        <w:spacing w:after="80"/>
      </w:pPr>
    </w:p>
    <w:p>
      <w:pPr>
        <w:spacing w:before="280" w:after="40"/>
      </w:pPr>
      <w:r>
        <w:rPr>
          <w:b/>
          <w:color w:val="111111"/>
          <w:sz w:val="32"/>
        </w:rPr>
        <w:t>3. Veri Seti</w:t>
      </w:r>
    </w:p>
    <w:p>
      <w:pPr>
        <w:spacing w:before="40" w:after="80"/>
        <w:pBdr>
          <w:bottom w:val="single" w:sz="6" w:space="1" w:color="222222"/>
        </w:pBdr>
      </w:pPr>
    </w:p>
    <w:p>
      <w:pPr>
        <w:spacing w:before="200" w:after="60"/>
      </w:pPr>
      <w:r>
        <w:rPr>
          <w:b/>
          <w:color w:val="222222"/>
          <w:sz w:val="26"/>
        </w:rPr>
        <w:t>3.1 VQA v2</w:t>
      </w:r>
    </w:p>
    <w:p>
      <w:pPr>
        <w:spacing w:before="40" w:after="60" w:line="280" w:lineRule="exact"/>
        <w:jc w:val="both"/>
      </w:pPr>
      <w:r>
        <w:rPr>
          <w:i w:val="0"/>
          <w:color w:val="111111"/>
          <w:sz w:val="20"/>
        </w:rPr>
        <w:t>VQA v2 (Goyal ve ark., 2017), 204.721 COCO görüntüsü üzerinde 1.105.904 soru ve 11.059.040 insan yanıtı içermektedir. HuggingFace API rate limit sorunuyla karşılaşılmış; soru ve cevap JSON dosyaları resmi sunuculardan manuel indirilerek çözülmüştür.</w:t>
      </w:r>
    </w:p>
    <w:p>
      <w:pPr>
        <w:spacing w:before="200" w:after="60"/>
      </w:pPr>
      <w:r>
        <w:rPr>
          <w:b/>
          <w:color w:val="222222"/>
          <w:sz w:val="26"/>
        </w:rPr>
        <w:t>3.2 Değerlendirme Metriği</w:t>
      </w:r>
    </w:p>
    <w:p>
      <w:pPr>
        <w:spacing w:before="40" w:after="60" w:line="280" w:lineRule="exact"/>
        <w:jc w:val="both"/>
      </w:pPr>
      <w:r>
        <w:rPr>
          <w:i w:val="0"/>
          <w:color w:val="111111"/>
          <w:sz w:val="20"/>
        </w:rPr>
        <w:t>Resmi yumuşak doğruluk formülü: puan = min(insan_sayısı / 3, 1.0). Bu formül, farklı geçerli yanıtlara kısmi kredi verilmesini sağlar.</w:t>
      </w:r>
    </w:p>
    <w:p>
      <w:pPr>
        <w:spacing w:before="200" w:after="60"/>
      </w:pPr>
      <w:r>
        <w:rPr>
          <w:b/>
          <w:color w:val="222222"/>
          <w:sz w:val="26"/>
        </w:rPr>
        <w:t>3.3 Veri Ön İşleme</w:t>
      </w:r>
    </w:p>
    <w:p>
      <w:pPr>
        <w:pStyle w:val="ListBullet"/>
        <w:spacing w:before="20" w:after="20"/>
      </w:pPr>
      <w:r>
        <w:rPr>
          <w:color w:val="111111"/>
          <w:sz w:val="20"/>
        </w:rPr>
        <w:t>Sorular küçük harfe dönüştürülmüş, noktalama temizlenmiştir.</w:t>
      </w:r>
    </w:p>
    <w:p>
      <w:pPr>
        <w:pStyle w:val="ListBullet"/>
        <w:spacing w:before="20" w:after="20"/>
      </w:pPr>
      <w:r>
        <w:rPr>
          <w:color w:val="111111"/>
          <w:sz w:val="20"/>
        </w:rPr>
        <w:t>Cevap uzayı: eğitim kümesindeki en sık 1.001 yanıt.</w:t>
      </w:r>
    </w:p>
    <w:p>
      <w:pPr>
        <w:pStyle w:val="ListBullet"/>
        <w:spacing w:before="20" w:after="20"/>
      </w:pPr>
      <w:r>
        <w:rPr>
          <w:color w:val="111111"/>
          <w:sz w:val="20"/>
        </w:rPr>
        <w:t>Görüntüler 224×224 piksele ölçeklendirilmiştir.</w:t>
      </w:r>
    </w:p>
    <w:p>
      <w:pPr>
        <w:pStyle w:val="ListBullet"/>
        <w:spacing w:before="20" w:after="20"/>
      </w:pPr>
      <w:r>
        <w:rPr>
          <w:color w:val="111111"/>
          <w:sz w:val="20"/>
        </w:rPr>
        <w:t>Yeniden üretilebilirlik için SEED=42 sabitlenmiştir.</w:t>
      </w:r>
    </w:p>
    <w:p>
      <w:pPr>
        <w:spacing w:before="280" w:after="40"/>
      </w:pPr>
      <w:r>
        <w:rPr>
          <w:b/>
          <w:color w:val="111111"/>
          <w:sz w:val="32"/>
        </w:rPr>
        <w:t>4. Model Mimarileri</w:t>
      </w:r>
    </w:p>
    <w:p>
      <w:pPr>
        <w:spacing w:before="40" w:after="80"/>
        <w:pBdr>
          <w:bottom w:val="single" w:sz="6" w:space="1" w:color="222222"/>
        </w:pBdr>
      </w:pPr>
    </w:p>
    <w:p>
      <w:pPr>
        <w:spacing w:before="200" w:after="60"/>
      </w:pPr>
      <w:r>
        <w:rPr>
          <w:b/>
          <w:color w:val="222222"/>
          <w:sz w:val="26"/>
        </w:rPr>
        <w:t>4.1 CNN+LSTM</w:t>
      </w:r>
    </w:p>
    <w:p>
      <w:pPr>
        <w:spacing w:before="40" w:after="60" w:line="280" w:lineRule="exact"/>
        <w:jc w:val="both"/>
      </w:pPr>
      <w:r>
        <w:rPr>
          <w:i w:val="0"/>
          <w:color w:val="111111"/>
          <w:sz w:val="20"/>
        </w:rPr>
        <w:t>Dondurulmuş ResNet-152 görüntü kodlayıcı (2048→512 boyut yansıtma) ve 2 katmanlı LSTM soru kodlayıcı (gömme:512, gizli:1024) kullanılmıştır. Füzyon: birleştirme + 2 katmanlı sınıflandırıcı.</w:t>
      </w:r>
    </w:p>
    <w:p>
      <w:pPr>
        <w:spacing w:before="200" w:after="60"/>
      </w:pPr>
      <w:r>
        <w:rPr>
          <w:b/>
          <w:color w:val="222222"/>
          <w:sz w:val="26"/>
        </w:rPr>
        <w:t>4.2 SAN</w:t>
      </w:r>
    </w:p>
    <w:p>
      <w:pPr>
        <w:spacing w:before="40" w:after="60" w:line="280" w:lineRule="exact"/>
        <w:jc w:val="both"/>
      </w:pPr>
      <w:r>
        <w:rPr>
          <w:i w:val="0"/>
          <w:color w:val="111111"/>
          <w:sz w:val="20"/>
        </w:rPr>
        <w:t>Dondurulmuş VGG-19 özellik haritaları 14×14=196 bölgeye dönüştürülmüştür. 2 katmanlı GRU soru kodlayıcı kullanılmıştır. İki dikkat adımında soru vektörü güncellenerek ilgili görüntü bölgesine odaklanılmaktadır.</w:t>
      </w:r>
    </w:p>
    <w:p>
      <w:pPr>
        <w:spacing w:before="200" w:after="60"/>
      </w:pPr>
      <w:r>
        <w:rPr>
          <w:b/>
          <w:color w:val="222222"/>
          <w:sz w:val="26"/>
        </w:rPr>
        <w:t>4.3 BLIP-2</w:t>
      </w:r>
    </w:p>
    <w:p>
      <w:pPr>
        <w:spacing w:before="40" w:after="60" w:line="280" w:lineRule="exact"/>
        <w:jc w:val="both"/>
      </w:pPr>
      <w:r>
        <w:rPr>
          <w:i w:val="0"/>
          <w:color w:val="111111"/>
          <w:sz w:val="20"/>
        </w:rPr>
        <w:t>Donmuş CLIP ViT-L/14 ile OPT-2.7B arasında Q-Former köprüsü kullanılmıştır. LoRA (r=16, α=32) ile fine-tuning denenmiş; 8GB VRAM'de batch başına ~92 saniye süre nedeniyle tamamlanamamıştır. Zero-shot değerlendirmeyle %33.33 elde edilmiştir.</w:t>
      </w:r>
    </w:p>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417"/>
            <w:shd w:val="clear" w:color="auto" w:fill="222222"/>
          </w:tcPr>
          <w:p>
            <w:pPr>
              <w:jc w:val="center"/>
            </w:pPr>
            <w:r>
              <w:rPr>
                <w:b/>
                <w:color w:val="FFFFFF"/>
                <w:sz w:val="18"/>
              </w:rPr>
              <w:t>Model</w:t>
            </w:r>
          </w:p>
        </w:tc>
        <w:tc>
          <w:tcPr>
            <w:tcW w:type="dxa" w:w="2268"/>
            <w:shd w:val="clear" w:color="auto" w:fill="222222"/>
          </w:tcPr>
          <w:p>
            <w:pPr>
              <w:jc w:val="center"/>
            </w:pPr>
            <w:r>
              <w:rPr>
                <w:b/>
                <w:color w:val="FFFFFF"/>
                <w:sz w:val="18"/>
              </w:rPr>
              <w:t>Görüntü Kodlayıcı</w:t>
            </w:r>
          </w:p>
        </w:tc>
        <w:tc>
          <w:tcPr>
            <w:tcW w:type="dxa" w:w="1984"/>
            <w:shd w:val="clear" w:color="auto" w:fill="222222"/>
          </w:tcPr>
          <w:p>
            <w:pPr>
              <w:jc w:val="center"/>
            </w:pPr>
            <w:r>
              <w:rPr>
                <w:b/>
                <w:color w:val="FFFFFF"/>
                <w:sz w:val="18"/>
              </w:rPr>
              <w:t>Soru Kodlayıcı</w:t>
            </w:r>
          </w:p>
        </w:tc>
        <w:tc>
          <w:tcPr>
            <w:tcW w:type="dxa" w:w="1134"/>
            <w:shd w:val="clear" w:color="auto" w:fill="222222"/>
          </w:tcPr>
          <w:p>
            <w:pPr>
              <w:jc w:val="center"/>
            </w:pPr>
            <w:r>
              <w:rPr>
                <w:b/>
                <w:color w:val="FFFFFF"/>
                <w:sz w:val="18"/>
              </w:rPr>
              <w:t>Parametre</w:t>
            </w:r>
          </w:p>
        </w:tc>
        <w:tc>
          <w:tcPr>
            <w:tcW w:type="dxa" w:w="1134"/>
            <w:shd w:val="clear" w:color="auto" w:fill="222222"/>
          </w:tcPr>
          <w:p>
            <w:pPr>
              <w:jc w:val="center"/>
            </w:pPr>
            <w:r>
              <w:rPr>
                <w:b/>
                <w:color w:val="FFFFFF"/>
                <w:sz w:val="18"/>
              </w:rPr>
              <w:t>Acc.</w:t>
            </w:r>
          </w:p>
        </w:tc>
      </w:tr>
      <w:tr>
        <w:tc>
          <w:tcPr>
            <w:tcW w:type="dxa" w:w="1417"/>
            <w:shd w:val="clear" w:color="auto" w:fill="F5F5F5"/>
          </w:tcPr>
          <w:p>
            <w:pPr>
              <w:jc w:val="center"/>
            </w:pPr>
            <w:r>
              <w:rPr>
                <w:color w:val="111111"/>
                <w:sz w:val="18"/>
              </w:rPr>
              <w:t>CNN+LSTM</w:t>
            </w:r>
          </w:p>
        </w:tc>
        <w:tc>
          <w:tcPr>
            <w:tcW w:type="dxa" w:w="2268"/>
            <w:shd w:val="clear" w:color="auto" w:fill="F5F5F5"/>
          </w:tcPr>
          <w:p>
            <w:pPr>
              <w:jc w:val="center"/>
            </w:pPr>
            <w:r>
              <w:rPr>
                <w:color w:val="111111"/>
                <w:sz w:val="18"/>
              </w:rPr>
              <w:t>ResNet-152 (dondurulmuş)</w:t>
            </w:r>
          </w:p>
        </w:tc>
        <w:tc>
          <w:tcPr>
            <w:tcW w:type="dxa" w:w="1984"/>
            <w:shd w:val="clear" w:color="auto" w:fill="F5F5F5"/>
          </w:tcPr>
          <w:p>
            <w:pPr>
              <w:jc w:val="center"/>
            </w:pPr>
            <w:r>
              <w:rPr>
                <w:color w:val="111111"/>
                <w:sz w:val="18"/>
              </w:rPr>
              <w:t>2-kat LSTM</w:t>
            </w:r>
          </w:p>
        </w:tc>
        <w:tc>
          <w:tcPr>
            <w:tcW w:type="dxa" w:w="1134"/>
            <w:shd w:val="clear" w:color="auto" w:fill="F5F5F5"/>
          </w:tcPr>
          <w:p>
            <w:pPr>
              <w:jc w:val="center"/>
            </w:pPr>
            <w:r>
              <w:rPr>
                <w:color w:val="111111"/>
                <w:sz w:val="18"/>
              </w:rPr>
              <w:t>~77M</w:t>
            </w:r>
          </w:p>
        </w:tc>
        <w:tc>
          <w:tcPr>
            <w:tcW w:type="dxa" w:w="1134"/>
            <w:shd w:val="clear" w:color="auto" w:fill="F5F5F5"/>
          </w:tcPr>
          <w:p>
            <w:pPr>
              <w:jc w:val="center"/>
            </w:pPr>
            <w:r>
              <w:rPr>
                <w:color w:val="111111"/>
                <w:sz w:val="18"/>
              </w:rPr>
              <w:t>%41.20</w:t>
            </w:r>
          </w:p>
        </w:tc>
      </w:tr>
      <w:tr>
        <w:tc>
          <w:tcPr>
            <w:tcW w:type="dxa" w:w="1417"/>
            <w:shd w:val="clear" w:color="auto" w:fill="FFFFFF"/>
          </w:tcPr>
          <w:p>
            <w:pPr>
              <w:jc w:val="center"/>
            </w:pPr>
            <w:r>
              <w:rPr>
                <w:color w:val="111111"/>
                <w:sz w:val="18"/>
              </w:rPr>
              <w:t>SAN</w:t>
            </w:r>
          </w:p>
        </w:tc>
        <w:tc>
          <w:tcPr>
            <w:tcW w:type="dxa" w:w="2268"/>
            <w:shd w:val="clear" w:color="auto" w:fill="FFFFFF"/>
          </w:tcPr>
          <w:p>
            <w:pPr>
              <w:jc w:val="center"/>
            </w:pPr>
            <w:r>
              <w:rPr>
                <w:color w:val="111111"/>
                <w:sz w:val="18"/>
              </w:rPr>
              <w:t>VGG-19 (dondurulmuş)</w:t>
            </w:r>
          </w:p>
        </w:tc>
        <w:tc>
          <w:tcPr>
            <w:tcW w:type="dxa" w:w="1984"/>
            <w:shd w:val="clear" w:color="auto" w:fill="FFFFFF"/>
          </w:tcPr>
          <w:p>
            <w:pPr>
              <w:jc w:val="center"/>
            </w:pPr>
            <w:r>
              <w:rPr>
                <w:color w:val="111111"/>
                <w:sz w:val="18"/>
              </w:rPr>
              <w:t>2-kat GRU</w:t>
            </w:r>
          </w:p>
        </w:tc>
        <w:tc>
          <w:tcPr>
            <w:tcW w:type="dxa" w:w="1134"/>
            <w:shd w:val="clear" w:color="auto" w:fill="FFFFFF"/>
          </w:tcPr>
          <w:p>
            <w:pPr>
              <w:jc w:val="center"/>
            </w:pPr>
            <w:r>
              <w:rPr>
                <w:color w:val="111111"/>
                <w:sz w:val="18"/>
              </w:rPr>
              <w:t>~35M</w:t>
            </w:r>
          </w:p>
        </w:tc>
        <w:tc>
          <w:tcPr>
            <w:tcW w:type="dxa" w:w="1134"/>
            <w:shd w:val="clear" w:color="auto" w:fill="FFFFFF"/>
          </w:tcPr>
          <w:p>
            <w:pPr>
              <w:jc w:val="center"/>
            </w:pPr>
            <w:r>
              <w:rPr>
                <w:color w:val="111111"/>
                <w:sz w:val="18"/>
              </w:rPr>
              <w:t>%35.80</w:t>
            </w:r>
          </w:p>
        </w:tc>
      </w:tr>
      <w:tr>
        <w:tc>
          <w:tcPr>
            <w:tcW w:type="dxa" w:w="1417"/>
            <w:shd w:val="clear" w:color="auto" w:fill="F5F5F5"/>
          </w:tcPr>
          <w:p>
            <w:pPr>
              <w:jc w:val="center"/>
            </w:pPr>
            <w:r>
              <w:rPr>
                <w:color w:val="111111"/>
                <w:sz w:val="18"/>
              </w:rPr>
              <w:t>BLIP-2</w:t>
            </w:r>
          </w:p>
        </w:tc>
        <w:tc>
          <w:tcPr>
            <w:tcW w:type="dxa" w:w="2268"/>
            <w:shd w:val="clear" w:color="auto" w:fill="F5F5F5"/>
          </w:tcPr>
          <w:p>
            <w:pPr>
              <w:jc w:val="center"/>
            </w:pPr>
            <w:r>
              <w:rPr>
                <w:color w:val="111111"/>
                <w:sz w:val="18"/>
              </w:rPr>
              <w:t>CLIP ViT-L/14</w:t>
            </w:r>
          </w:p>
        </w:tc>
        <w:tc>
          <w:tcPr>
            <w:tcW w:type="dxa" w:w="1984"/>
            <w:shd w:val="clear" w:color="auto" w:fill="F5F5F5"/>
          </w:tcPr>
          <w:p>
            <w:pPr>
              <w:jc w:val="center"/>
            </w:pPr>
            <w:r>
              <w:rPr>
                <w:color w:val="111111"/>
                <w:sz w:val="18"/>
              </w:rPr>
              <w:t>Q-Former+OPT</w:t>
            </w:r>
          </w:p>
        </w:tc>
        <w:tc>
          <w:tcPr>
            <w:tcW w:type="dxa" w:w="1134"/>
            <w:shd w:val="clear" w:color="auto" w:fill="F5F5F5"/>
          </w:tcPr>
          <w:p>
            <w:pPr>
              <w:jc w:val="center"/>
            </w:pPr>
            <w:r>
              <w:rPr>
                <w:color w:val="111111"/>
                <w:sz w:val="18"/>
              </w:rPr>
              <w:t>~3.8B</w:t>
            </w:r>
          </w:p>
        </w:tc>
        <w:tc>
          <w:tcPr>
            <w:tcW w:type="dxa" w:w="1134"/>
            <w:shd w:val="clear" w:color="auto" w:fill="F5F5F5"/>
          </w:tcPr>
          <w:p>
            <w:pPr>
              <w:jc w:val="center"/>
            </w:pPr>
            <w:r>
              <w:rPr>
                <w:color w:val="111111"/>
                <w:sz w:val="18"/>
              </w:rPr>
              <w:t>%33.33</w:t>
            </w:r>
          </w:p>
        </w:tc>
      </w:tr>
    </w:tbl>
    <w:p>
      <w:pPr>
        <w:spacing w:after="80"/>
      </w:pPr>
    </w:p>
    <w:p>
      <w:pPr>
        <w:spacing w:before="280" w:after="40"/>
      </w:pPr>
      <w:r>
        <w:rPr>
          <w:b/>
          <w:color w:val="111111"/>
          <w:sz w:val="32"/>
        </w:rPr>
        <w:t>5. Deneyler ve Sonuçlar</w:t>
      </w:r>
    </w:p>
    <w:p>
      <w:pPr>
        <w:spacing w:before="40" w:after="80"/>
        <w:pBdr>
          <w:bottom w:val="single" w:sz="6" w:space="1" w:color="222222"/>
        </w:pBdr>
      </w:pPr>
    </w:p>
    <w:p>
      <w:pPr>
        <w:spacing w:before="200" w:after="60"/>
      </w:pPr>
      <w:r>
        <w:rPr>
          <w:b/>
          <w:color w:val="222222"/>
          <w:sz w:val="26"/>
        </w:rPr>
        <w:t>5.1 Eğitim Protokolü</w:t>
      </w:r>
    </w:p>
    <w:p>
      <w:pPr>
        <w:spacing w:before="40" w:after="60" w:line="280" w:lineRule="exact"/>
        <w:jc w:val="both"/>
      </w:pPr>
      <w:r>
        <w:rPr>
          <w:i w:val="0"/>
          <w:color w:val="111111"/>
          <w:sz w:val="20"/>
        </w:rPr>
        <w:t>Tüm modeller NVIDIA RTX 4060 Laptop GPU (8GB VRAM) üzerinde eğitilmiştir. SEED=42 ile yeniden üretilebilirlik sağlanmıştır. Klasik modeller için AdamW (lr=1e-3), BLIP-2 için AdamW (lr=2e-4) kullanılmıştır. Early Stopping (patience=3) ve Mixed Precision (AMP) uygulanmıştır.</w:t>
      </w:r>
    </w:p>
    <w:p>
      <w:pPr>
        <w:spacing w:before="200" w:after="60"/>
      </w:pPr>
      <w:r>
        <w:rPr>
          <w:b/>
          <w:color w:val="222222"/>
          <w:sz w:val="26"/>
        </w:rPr>
        <w:t>5.2 Ana Karşılaştırma Tablosu</w:t>
      </w:r>
    </w:p>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268"/>
            <w:shd w:val="clear" w:color="auto" w:fill="222222"/>
          </w:tcPr>
          <w:p>
            <w:pPr>
              <w:jc w:val="center"/>
            </w:pPr>
            <w:r>
              <w:rPr>
                <w:b/>
                <w:color w:val="FFFFFF"/>
                <w:sz w:val="18"/>
              </w:rPr>
              <w:t>Model</w:t>
            </w:r>
          </w:p>
        </w:tc>
        <w:tc>
          <w:tcPr>
            <w:tcW w:type="dxa" w:w="850"/>
            <w:shd w:val="clear" w:color="auto" w:fill="222222"/>
          </w:tcPr>
          <w:p>
            <w:pPr>
              <w:jc w:val="center"/>
            </w:pPr>
            <w:r>
              <w:rPr>
                <w:b/>
                <w:color w:val="FFFFFF"/>
                <w:sz w:val="18"/>
              </w:rPr>
              <w:t>Yıl</w:t>
            </w:r>
          </w:p>
        </w:tc>
        <w:tc>
          <w:tcPr>
            <w:tcW w:type="dxa" w:w="1701"/>
            <w:shd w:val="clear" w:color="auto" w:fill="222222"/>
          </w:tcPr>
          <w:p>
            <w:pPr>
              <w:jc w:val="center"/>
            </w:pPr>
            <w:r>
              <w:rPr>
                <w:b/>
                <w:color w:val="FFFFFF"/>
                <w:sz w:val="18"/>
              </w:rPr>
              <w:t>Tür</w:t>
            </w:r>
          </w:p>
        </w:tc>
        <w:tc>
          <w:tcPr>
            <w:tcW w:type="dxa" w:w="1417"/>
            <w:shd w:val="clear" w:color="auto" w:fill="222222"/>
          </w:tcPr>
          <w:p>
            <w:pPr>
              <w:jc w:val="center"/>
            </w:pPr>
            <w:r>
              <w:rPr>
                <w:b/>
                <w:color w:val="FFFFFF"/>
                <w:sz w:val="18"/>
              </w:rPr>
              <w:t>Doğruluk</w:t>
            </w:r>
          </w:p>
        </w:tc>
        <w:tc>
          <w:tcPr>
            <w:tcW w:type="dxa" w:w="1417"/>
            <w:shd w:val="clear" w:color="auto" w:fill="222222"/>
          </w:tcPr>
          <w:p>
            <w:pPr>
              <w:jc w:val="center"/>
            </w:pPr>
            <w:r>
              <w:rPr>
                <w:b/>
                <w:color w:val="FFFFFF"/>
                <w:sz w:val="18"/>
              </w:rPr>
              <w:t>Kaynak</w:t>
            </w:r>
          </w:p>
        </w:tc>
      </w:tr>
      <w:tr>
        <w:tc>
          <w:tcPr>
            <w:tcW w:type="dxa" w:w="2268"/>
            <w:shd w:val="clear" w:color="auto" w:fill="F5F5F5"/>
          </w:tcPr>
          <w:p>
            <w:pPr>
              <w:jc w:val="center"/>
            </w:pPr>
            <w:r>
              <w:rPr>
                <w:color w:val="111111"/>
                <w:sz w:val="18"/>
              </w:rPr>
              <w:t>BOW</w:t>
            </w:r>
          </w:p>
        </w:tc>
        <w:tc>
          <w:tcPr>
            <w:tcW w:type="dxa" w:w="850"/>
            <w:shd w:val="clear" w:color="auto" w:fill="F5F5F5"/>
          </w:tcPr>
          <w:p>
            <w:pPr>
              <w:jc w:val="center"/>
            </w:pPr>
            <w:r>
              <w:rPr>
                <w:color w:val="111111"/>
                <w:sz w:val="18"/>
              </w:rPr>
              <w:t>2015</w:t>
            </w:r>
          </w:p>
        </w:tc>
        <w:tc>
          <w:tcPr>
            <w:tcW w:type="dxa" w:w="1701"/>
            <w:shd w:val="clear" w:color="auto" w:fill="F5F5F5"/>
          </w:tcPr>
          <w:p>
            <w:pPr>
              <w:jc w:val="center"/>
            </w:pPr>
            <w:r>
              <w:rPr>
                <w:color w:val="111111"/>
                <w:sz w:val="18"/>
              </w:rPr>
              <w:t>Sadece Metin</w:t>
            </w:r>
          </w:p>
        </w:tc>
        <w:tc>
          <w:tcPr>
            <w:tcW w:type="dxa" w:w="1417"/>
            <w:shd w:val="clear" w:color="auto" w:fill="F5F5F5"/>
          </w:tcPr>
          <w:p>
            <w:pPr>
              <w:jc w:val="center"/>
            </w:pPr>
            <w:r>
              <w:rPr>
                <w:color w:val="111111"/>
                <w:sz w:val="18"/>
              </w:rPr>
              <w:t>%48.1</w:t>
            </w:r>
          </w:p>
        </w:tc>
        <w:tc>
          <w:tcPr>
            <w:tcW w:type="dxa" w:w="1417"/>
            <w:shd w:val="clear" w:color="auto" w:fill="F5F5F5"/>
          </w:tcPr>
          <w:p>
            <w:pPr>
              <w:jc w:val="center"/>
            </w:pPr>
            <w:r>
              <w:rPr>
                <w:color w:val="111111"/>
                <w:sz w:val="18"/>
              </w:rPr>
              <w:t>Ren et al.</w:t>
            </w:r>
          </w:p>
        </w:tc>
      </w:tr>
      <w:tr>
        <w:tc>
          <w:tcPr>
            <w:tcW w:type="dxa" w:w="2268"/>
            <w:shd w:val="clear" w:color="auto" w:fill="FFFFFF"/>
          </w:tcPr>
          <w:p>
            <w:pPr>
              <w:jc w:val="center"/>
            </w:pPr>
            <w:r>
              <w:rPr>
                <w:color w:val="111111"/>
                <w:sz w:val="18"/>
              </w:rPr>
              <w:t>LSTM</w:t>
            </w:r>
          </w:p>
        </w:tc>
        <w:tc>
          <w:tcPr>
            <w:tcW w:type="dxa" w:w="850"/>
            <w:shd w:val="clear" w:color="auto" w:fill="FFFFFF"/>
          </w:tcPr>
          <w:p>
            <w:pPr>
              <w:jc w:val="center"/>
            </w:pPr>
            <w:r>
              <w:rPr>
                <w:color w:val="111111"/>
                <w:sz w:val="18"/>
              </w:rPr>
              <w:t>2015</w:t>
            </w:r>
          </w:p>
        </w:tc>
        <w:tc>
          <w:tcPr>
            <w:tcW w:type="dxa" w:w="1701"/>
            <w:shd w:val="clear" w:color="auto" w:fill="FFFFFF"/>
          </w:tcPr>
          <w:p>
            <w:pPr>
              <w:jc w:val="center"/>
            </w:pPr>
            <w:r>
              <w:rPr>
                <w:color w:val="111111"/>
                <w:sz w:val="18"/>
              </w:rPr>
              <w:t>Sadece Metin</w:t>
            </w:r>
          </w:p>
        </w:tc>
        <w:tc>
          <w:tcPr>
            <w:tcW w:type="dxa" w:w="1417"/>
            <w:shd w:val="clear" w:color="auto" w:fill="FFFFFF"/>
          </w:tcPr>
          <w:p>
            <w:pPr>
              <w:jc w:val="center"/>
            </w:pPr>
            <w:r>
              <w:rPr>
                <w:color w:val="111111"/>
                <w:sz w:val="18"/>
              </w:rPr>
              <w:t>%53.3</w:t>
            </w:r>
          </w:p>
        </w:tc>
        <w:tc>
          <w:tcPr>
            <w:tcW w:type="dxa" w:w="1417"/>
            <w:shd w:val="clear" w:color="auto" w:fill="FFFFFF"/>
          </w:tcPr>
          <w:p>
            <w:pPr>
              <w:jc w:val="center"/>
            </w:pPr>
            <w:r>
              <w:rPr>
                <w:color w:val="111111"/>
                <w:sz w:val="18"/>
              </w:rPr>
              <w:t>Ren et al.</w:t>
            </w:r>
          </w:p>
        </w:tc>
      </w:tr>
      <w:tr>
        <w:tc>
          <w:tcPr>
            <w:tcW w:type="dxa" w:w="2268"/>
            <w:shd w:val="clear" w:color="auto" w:fill="F5F5F5"/>
          </w:tcPr>
          <w:p>
            <w:pPr>
              <w:jc w:val="center"/>
            </w:pPr>
            <w:r>
              <w:rPr>
                <w:color w:val="111111"/>
                <w:sz w:val="18"/>
              </w:rPr>
              <w:t>IMG+BOW</w:t>
            </w:r>
          </w:p>
        </w:tc>
        <w:tc>
          <w:tcPr>
            <w:tcW w:type="dxa" w:w="850"/>
            <w:shd w:val="clear" w:color="auto" w:fill="F5F5F5"/>
          </w:tcPr>
          <w:p>
            <w:pPr>
              <w:jc w:val="center"/>
            </w:pPr>
            <w:r>
              <w:rPr>
                <w:color w:val="111111"/>
                <w:sz w:val="18"/>
              </w:rPr>
              <w:t>2015</w:t>
            </w:r>
          </w:p>
        </w:tc>
        <w:tc>
          <w:tcPr>
            <w:tcW w:type="dxa" w:w="1701"/>
            <w:shd w:val="clear" w:color="auto" w:fill="F5F5F5"/>
          </w:tcPr>
          <w:p>
            <w:pPr>
              <w:jc w:val="center"/>
            </w:pPr>
            <w:r>
              <w:rPr>
                <w:color w:val="111111"/>
                <w:sz w:val="18"/>
              </w:rPr>
              <w:t>Görüntü+Metin</w:t>
            </w:r>
          </w:p>
        </w:tc>
        <w:tc>
          <w:tcPr>
            <w:tcW w:type="dxa" w:w="1417"/>
            <w:shd w:val="clear" w:color="auto" w:fill="F5F5F5"/>
          </w:tcPr>
          <w:p>
            <w:pPr>
              <w:jc w:val="center"/>
            </w:pPr>
            <w:r>
              <w:rPr>
                <w:color w:val="111111"/>
                <w:sz w:val="18"/>
              </w:rPr>
              <w:t>%55.9</w:t>
            </w:r>
          </w:p>
        </w:tc>
        <w:tc>
          <w:tcPr>
            <w:tcW w:type="dxa" w:w="1417"/>
            <w:shd w:val="clear" w:color="auto" w:fill="F5F5F5"/>
          </w:tcPr>
          <w:p>
            <w:pPr>
              <w:jc w:val="center"/>
            </w:pPr>
            <w:r>
              <w:rPr>
                <w:color w:val="111111"/>
                <w:sz w:val="18"/>
              </w:rPr>
              <w:t>Ren et al.</w:t>
            </w:r>
          </w:p>
        </w:tc>
      </w:tr>
      <w:tr>
        <w:tc>
          <w:tcPr>
            <w:tcW w:type="dxa" w:w="2268"/>
            <w:shd w:val="clear" w:color="auto" w:fill="FFFFFF"/>
          </w:tcPr>
          <w:p>
            <w:pPr>
              <w:jc w:val="center"/>
            </w:pPr>
            <w:r>
              <w:rPr>
                <w:color w:val="111111"/>
                <w:sz w:val="18"/>
              </w:rPr>
              <w:t>2-VIS+BLSTM</w:t>
            </w:r>
          </w:p>
        </w:tc>
        <w:tc>
          <w:tcPr>
            <w:tcW w:type="dxa" w:w="850"/>
            <w:shd w:val="clear" w:color="auto" w:fill="FFFFFF"/>
          </w:tcPr>
          <w:p>
            <w:pPr>
              <w:jc w:val="center"/>
            </w:pPr>
            <w:r>
              <w:rPr>
                <w:color w:val="111111"/>
                <w:sz w:val="18"/>
              </w:rPr>
              <w:t>2015</w:t>
            </w:r>
          </w:p>
        </w:tc>
        <w:tc>
          <w:tcPr>
            <w:tcW w:type="dxa" w:w="1701"/>
            <w:shd w:val="clear" w:color="auto" w:fill="FFFFFF"/>
          </w:tcPr>
          <w:p>
            <w:pPr>
              <w:jc w:val="center"/>
            </w:pPr>
            <w:r>
              <w:rPr>
                <w:color w:val="111111"/>
                <w:sz w:val="18"/>
              </w:rPr>
              <w:t>Görüntü+Metin</w:t>
            </w:r>
          </w:p>
        </w:tc>
        <w:tc>
          <w:tcPr>
            <w:tcW w:type="dxa" w:w="1417"/>
            <w:shd w:val="clear" w:color="auto" w:fill="FFFFFF"/>
          </w:tcPr>
          <w:p>
            <w:pPr>
              <w:jc w:val="center"/>
            </w:pPr>
            <w:r>
              <w:rPr>
                <w:color w:val="111111"/>
                <w:sz w:val="18"/>
              </w:rPr>
              <w:t>%58.4</w:t>
            </w:r>
          </w:p>
        </w:tc>
        <w:tc>
          <w:tcPr>
            <w:tcW w:type="dxa" w:w="1417"/>
            <w:shd w:val="clear" w:color="auto" w:fill="FFFFFF"/>
          </w:tcPr>
          <w:p>
            <w:pPr>
              <w:jc w:val="center"/>
            </w:pPr>
            <w:r>
              <w:rPr>
                <w:color w:val="111111"/>
                <w:sz w:val="18"/>
              </w:rPr>
              <w:t>Ren et al.</w:t>
            </w:r>
          </w:p>
        </w:tc>
      </w:tr>
      <w:tr>
        <w:tc>
          <w:tcPr>
            <w:tcW w:type="dxa" w:w="2268"/>
            <w:shd w:val="clear" w:color="auto" w:fill="F5F5F5"/>
          </w:tcPr>
          <w:p>
            <w:pPr>
              <w:jc w:val="center"/>
            </w:pPr>
            <w:r>
              <w:rPr>
                <w:color w:val="111111"/>
                <w:sz w:val="18"/>
              </w:rPr>
              <w:t>Question-Only (Bizim)</w:t>
            </w:r>
          </w:p>
        </w:tc>
        <w:tc>
          <w:tcPr>
            <w:tcW w:type="dxa" w:w="850"/>
            <w:shd w:val="clear" w:color="auto" w:fill="F5F5F5"/>
          </w:tcPr>
          <w:p>
            <w:pPr>
              <w:jc w:val="center"/>
            </w:pPr>
            <w:r>
              <w:rPr>
                <w:color w:val="111111"/>
                <w:sz w:val="18"/>
              </w:rPr>
              <w:t>2026</w:t>
            </w:r>
          </w:p>
        </w:tc>
        <w:tc>
          <w:tcPr>
            <w:tcW w:type="dxa" w:w="1701"/>
            <w:shd w:val="clear" w:color="auto" w:fill="F5F5F5"/>
          </w:tcPr>
          <w:p>
            <w:pPr>
              <w:jc w:val="center"/>
            </w:pPr>
            <w:r>
              <w:rPr>
                <w:color w:val="111111"/>
                <w:sz w:val="18"/>
              </w:rPr>
              <w:t>Sadece Metin</w:t>
            </w:r>
          </w:p>
        </w:tc>
        <w:tc>
          <w:tcPr>
            <w:tcW w:type="dxa" w:w="1417"/>
            <w:shd w:val="clear" w:color="auto" w:fill="F5F5F5"/>
          </w:tcPr>
          <w:p>
            <w:pPr>
              <w:jc w:val="center"/>
            </w:pPr>
            <w:r>
              <w:rPr>
                <w:color w:val="111111"/>
                <w:sz w:val="18"/>
              </w:rPr>
              <w:t>%18.35</w:t>
            </w:r>
          </w:p>
        </w:tc>
        <w:tc>
          <w:tcPr>
            <w:tcW w:type="dxa" w:w="1417"/>
            <w:shd w:val="clear" w:color="auto" w:fill="F5F5F5"/>
          </w:tcPr>
          <w:p>
            <w:pPr>
              <w:jc w:val="center"/>
            </w:pPr>
            <w:r>
              <w:rPr>
                <w:color w:val="111111"/>
                <w:sz w:val="18"/>
              </w:rPr>
              <w:t>Bu Proje</w:t>
            </w:r>
          </w:p>
        </w:tc>
      </w:tr>
      <w:tr>
        <w:tc>
          <w:tcPr>
            <w:tcW w:type="dxa" w:w="2268"/>
            <w:shd w:val="clear" w:color="auto" w:fill="FFFFFF"/>
          </w:tcPr>
          <w:p>
            <w:pPr>
              <w:jc w:val="center"/>
            </w:pPr>
            <w:r>
              <w:rPr>
                <w:color w:val="111111"/>
                <w:sz w:val="18"/>
              </w:rPr>
              <w:t>BLIP-2 Zero-shot (Bizim)</w:t>
            </w:r>
          </w:p>
        </w:tc>
        <w:tc>
          <w:tcPr>
            <w:tcW w:type="dxa" w:w="850"/>
            <w:shd w:val="clear" w:color="auto" w:fill="FFFFFF"/>
          </w:tcPr>
          <w:p>
            <w:pPr>
              <w:jc w:val="center"/>
            </w:pPr>
            <w:r>
              <w:rPr>
                <w:color w:val="111111"/>
                <w:sz w:val="18"/>
              </w:rPr>
              <w:t>2026</w:t>
            </w:r>
          </w:p>
        </w:tc>
        <w:tc>
          <w:tcPr>
            <w:tcW w:type="dxa" w:w="1701"/>
            <w:shd w:val="clear" w:color="auto" w:fill="FFFFFF"/>
          </w:tcPr>
          <w:p>
            <w:pPr>
              <w:jc w:val="center"/>
            </w:pPr>
            <w:r>
              <w:rPr>
                <w:color w:val="111111"/>
                <w:sz w:val="18"/>
              </w:rPr>
              <w:t>Transformer</w:t>
            </w:r>
          </w:p>
        </w:tc>
        <w:tc>
          <w:tcPr>
            <w:tcW w:type="dxa" w:w="1417"/>
            <w:shd w:val="clear" w:color="auto" w:fill="FFFFFF"/>
          </w:tcPr>
          <w:p>
            <w:pPr>
              <w:jc w:val="center"/>
            </w:pPr>
            <w:r>
              <w:rPr>
                <w:color w:val="111111"/>
                <w:sz w:val="18"/>
              </w:rPr>
              <w:t>%33.33</w:t>
            </w:r>
          </w:p>
        </w:tc>
        <w:tc>
          <w:tcPr>
            <w:tcW w:type="dxa" w:w="1417"/>
            <w:shd w:val="clear" w:color="auto" w:fill="FFFFFF"/>
          </w:tcPr>
          <w:p>
            <w:pPr>
              <w:jc w:val="center"/>
            </w:pPr>
            <w:r>
              <w:rPr>
                <w:color w:val="111111"/>
                <w:sz w:val="18"/>
              </w:rPr>
              <w:t>Bu Proje</w:t>
            </w:r>
          </w:p>
        </w:tc>
      </w:tr>
      <w:tr>
        <w:tc>
          <w:tcPr>
            <w:tcW w:type="dxa" w:w="2268"/>
            <w:shd w:val="clear" w:color="auto" w:fill="F5F5F5"/>
          </w:tcPr>
          <w:p>
            <w:pPr>
              <w:jc w:val="center"/>
            </w:pPr>
            <w:r>
              <w:rPr>
                <w:color w:val="111111"/>
                <w:sz w:val="18"/>
              </w:rPr>
              <w:t>SAN (Bizim)</w:t>
            </w:r>
          </w:p>
        </w:tc>
        <w:tc>
          <w:tcPr>
            <w:tcW w:type="dxa" w:w="850"/>
            <w:shd w:val="clear" w:color="auto" w:fill="F5F5F5"/>
          </w:tcPr>
          <w:p>
            <w:pPr>
              <w:jc w:val="center"/>
            </w:pPr>
            <w:r>
              <w:rPr>
                <w:color w:val="111111"/>
                <w:sz w:val="18"/>
              </w:rPr>
              <w:t>2026</w:t>
            </w:r>
          </w:p>
        </w:tc>
        <w:tc>
          <w:tcPr>
            <w:tcW w:type="dxa" w:w="1701"/>
            <w:shd w:val="clear" w:color="auto" w:fill="F5F5F5"/>
          </w:tcPr>
          <w:p>
            <w:pPr>
              <w:jc w:val="center"/>
            </w:pPr>
            <w:r>
              <w:rPr>
                <w:color w:val="111111"/>
                <w:sz w:val="18"/>
              </w:rPr>
              <w:t>Dikkat Ağı</w:t>
            </w:r>
          </w:p>
        </w:tc>
        <w:tc>
          <w:tcPr>
            <w:tcW w:type="dxa" w:w="1417"/>
            <w:shd w:val="clear" w:color="auto" w:fill="F5F5F5"/>
          </w:tcPr>
          <w:p>
            <w:pPr>
              <w:jc w:val="center"/>
            </w:pPr>
            <w:r>
              <w:rPr>
                <w:color w:val="111111"/>
                <w:sz w:val="18"/>
              </w:rPr>
              <w:t>%35.80</w:t>
            </w:r>
          </w:p>
        </w:tc>
        <w:tc>
          <w:tcPr>
            <w:tcW w:type="dxa" w:w="1417"/>
            <w:shd w:val="clear" w:color="auto" w:fill="F5F5F5"/>
          </w:tcPr>
          <w:p>
            <w:pPr>
              <w:jc w:val="center"/>
            </w:pPr>
            <w:r>
              <w:rPr>
                <w:color w:val="111111"/>
                <w:sz w:val="18"/>
              </w:rPr>
              <w:t>Bu Proje</w:t>
            </w:r>
          </w:p>
        </w:tc>
      </w:tr>
      <w:tr>
        <w:tc>
          <w:tcPr>
            <w:tcW w:type="dxa" w:w="2268"/>
            <w:shd w:val="clear" w:color="auto" w:fill="FFFFFF"/>
          </w:tcPr>
          <w:p>
            <w:pPr>
              <w:jc w:val="center"/>
            </w:pPr>
            <w:r>
              <w:rPr>
                <w:color w:val="111111"/>
                <w:sz w:val="18"/>
              </w:rPr>
              <w:t>CNN+LSTM (Bizim)</w:t>
            </w:r>
          </w:p>
        </w:tc>
        <w:tc>
          <w:tcPr>
            <w:tcW w:type="dxa" w:w="850"/>
            <w:shd w:val="clear" w:color="auto" w:fill="FFFFFF"/>
          </w:tcPr>
          <w:p>
            <w:pPr>
              <w:jc w:val="center"/>
            </w:pPr>
            <w:r>
              <w:rPr>
                <w:color w:val="111111"/>
                <w:sz w:val="18"/>
              </w:rPr>
              <w:t>2026</w:t>
            </w:r>
          </w:p>
        </w:tc>
        <w:tc>
          <w:tcPr>
            <w:tcW w:type="dxa" w:w="1701"/>
            <w:shd w:val="clear" w:color="auto" w:fill="FFFFFF"/>
          </w:tcPr>
          <w:p>
            <w:pPr>
              <w:jc w:val="center"/>
            </w:pPr>
            <w:r>
              <w:rPr>
                <w:color w:val="111111"/>
                <w:sz w:val="18"/>
              </w:rPr>
              <w:t>Klasik CNN+RNN</w:t>
            </w:r>
          </w:p>
        </w:tc>
        <w:tc>
          <w:tcPr>
            <w:tcW w:type="dxa" w:w="1417"/>
            <w:shd w:val="clear" w:color="auto" w:fill="FFFFFF"/>
          </w:tcPr>
          <w:p>
            <w:pPr>
              <w:jc w:val="center"/>
            </w:pPr>
            <w:r>
              <w:rPr>
                <w:color w:val="111111"/>
                <w:sz w:val="18"/>
              </w:rPr>
              <w:t>%41.20</w:t>
            </w:r>
          </w:p>
        </w:tc>
        <w:tc>
          <w:tcPr>
            <w:tcW w:type="dxa" w:w="1417"/>
            <w:shd w:val="clear" w:color="auto" w:fill="FFFFFF"/>
          </w:tcPr>
          <w:p>
            <w:pPr>
              <w:jc w:val="center"/>
            </w:pPr>
            <w:r>
              <w:rPr>
                <w:color w:val="111111"/>
                <w:sz w:val="18"/>
              </w:rPr>
              <w:t>Bu Proje</w:t>
            </w:r>
          </w:p>
        </w:tc>
      </w:tr>
    </w:tbl>
    <w:p>
      <w:pPr>
        <w:spacing w:after="80"/>
      </w:pPr>
    </w:p>
    <w:p>
      <w:pPr>
        <w:spacing w:before="200" w:after="60"/>
      </w:pPr>
      <w:r>
        <w:rPr>
          <w:b/>
          <w:color w:val="222222"/>
          <w:sz w:val="26"/>
        </w:rPr>
        <w:t>5.3 Şekil 1 — Model Doğruluk Karşılaştırması</w:t>
      </w:r>
    </w:p>
    <w:p>
      <w:pPr>
        <w:spacing w:before="120" w:after="40"/>
        <w:jc w:val="center"/>
      </w:pPr>
      <w:r>
        <w:drawing>
          <wp:inline xmlns:a="http://schemas.openxmlformats.org/drawingml/2006/main" xmlns:pic="http://schemas.openxmlformats.org/drawingml/2006/picture">
            <wp:extent cx="5040000" cy="3024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40000" cy="3024000"/>
                    </a:xfrm>
                    <a:prstGeom prst="rect"/>
                  </pic:spPr>
                </pic:pic>
              </a:graphicData>
            </a:graphic>
          </wp:inline>
        </w:drawing>
      </w:r>
    </w:p>
    <w:p>
      <w:pPr>
        <w:spacing w:before="40" w:after="160"/>
        <w:jc w:val="center"/>
      </w:pPr>
      <w:r>
        <w:rPr>
          <w:b/>
          <w:i/>
          <w:color w:val="444444"/>
          <w:sz w:val="18"/>
        </w:rPr>
        <w:t>Şekil 1: Dört modelin validation accuracy karşılaştırması.</w:t>
      </w:r>
    </w:p>
    <w:p>
      <w:pPr>
        <w:spacing w:before="40" w:after="60" w:line="280" w:lineRule="exact"/>
        <w:jc w:val="both"/>
      </w:pPr>
      <w:r>
        <w:rPr>
          <w:i w:val="0"/>
          <w:color w:val="111111"/>
          <w:sz w:val="20"/>
        </w:rPr>
        <w:t>CNN+LSTM %41.20 ile en yüksek doğruluğa ulaşmıştır. 8GB VRAM kısıtı altında basit mimarilerin kararlı gradient akışı sağlaması bu sonucun temel sebebidir. Question-Only'nin %18.35 vermesi veri setinde dil önyargısı bulunduğunu göstermektedir.</w:t>
      </w:r>
    </w:p>
    <w:p>
      <w:pPr>
        <w:spacing w:before="200" w:after="60"/>
      </w:pPr>
      <w:r>
        <w:rPr>
          <w:b/>
          <w:color w:val="222222"/>
          <w:sz w:val="26"/>
        </w:rPr>
        <w:t>5.4 Şekil 2 — CNN+LSTM Eğitim Eğrisi</w:t>
      </w:r>
    </w:p>
    <w:p>
      <w:pPr>
        <w:spacing w:before="120" w:after="40"/>
        <w:jc w:val="center"/>
      </w:pPr>
      <w:r>
        <w:drawing>
          <wp:inline xmlns:a="http://schemas.openxmlformats.org/drawingml/2006/main" xmlns:pic="http://schemas.openxmlformats.org/drawingml/2006/picture">
            <wp:extent cx="5040000" cy="30240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40000" cy="3024000"/>
                    </a:xfrm>
                    <a:prstGeom prst="rect"/>
                  </pic:spPr>
                </pic:pic>
              </a:graphicData>
            </a:graphic>
          </wp:inline>
        </w:drawing>
      </w:r>
    </w:p>
    <w:p>
      <w:pPr>
        <w:spacing w:before="40" w:after="160"/>
        <w:jc w:val="center"/>
      </w:pPr>
      <w:r>
        <w:rPr>
          <w:b/>
          <w:i/>
          <w:color w:val="444444"/>
          <w:sz w:val="18"/>
        </w:rPr>
        <w:t>Şekil 2: Epoch bazlı validation accuracy. En iyi: Epoch 3, early stopping Epoch 6'da.</w:t>
      </w:r>
    </w:p>
    <w:p>
      <w:pPr>
        <w:spacing w:before="40" w:after="60" w:line="280" w:lineRule="exact"/>
        <w:jc w:val="both"/>
      </w:pPr>
      <w:r>
        <w:rPr>
          <w:i w:val="0"/>
          <w:color w:val="111111"/>
          <w:sz w:val="20"/>
        </w:rPr>
        <w:t>Model epoch 3'te %39.10 ile zirveye ulaşmış, ardından overfitting başlamıştır. RTX 4060'ın 8GB VRAM kapasitesi batch size kısıtlamasına yol açmıştır.</w:t>
      </w:r>
    </w:p>
    <w:p>
      <w:pPr>
        <w:spacing w:before="200" w:after="60"/>
      </w:pPr>
      <w:r>
        <w:rPr>
          <w:b/>
          <w:color w:val="222222"/>
          <w:sz w:val="26"/>
        </w:rPr>
        <w:t>5.5 Şekil 3 — Veri Miktarı ve Doğruluk İlişkisi</w:t>
      </w:r>
    </w:p>
    <w:p>
      <w:pPr>
        <w:spacing w:before="120" w:after="40"/>
        <w:jc w:val="center"/>
      </w:pPr>
      <w:r>
        <w:drawing>
          <wp:inline xmlns:a="http://schemas.openxmlformats.org/drawingml/2006/main" xmlns:pic="http://schemas.openxmlformats.org/drawingml/2006/picture">
            <wp:extent cx="5040000" cy="3024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40000" cy="3024000"/>
                    </a:xfrm>
                    <a:prstGeom prst="rect"/>
                  </pic:spPr>
                </pic:pic>
              </a:graphicData>
            </a:graphic>
          </wp:inline>
        </w:drawing>
      </w:r>
    </w:p>
    <w:p>
      <w:pPr>
        <w:spacing w:before="40" w:after="160"/>
        <w:jc w:val="center"/>
      </w:pPr>
      <w:r>
        <w:rPr>
          <w:b/>
          <w:i/>
          <w:color w:val="444444"/>
          <w:sz w:val="18"/>
        </w:rPr>
        <w:t>Şekil 3: Veri miktarı arttıkça doğruluk düşmektedir.</w:t>
      </w:r>
    </w:p>
    <w:p>
      <w:pPr>
        <w:spacing w:before="40" w:after="60" w:line="280" w:lineRule="exact"/>
        <w:jc w:val="both"/>
      </w:pPr>
      <w:r>
        <w:rPr>
          <w:i w:val="0"/>
          <w:color w:val="111111"/>
          <w:sz w:val="20"/>
        </w:rPr>
        <w:t>5K→%41.20, 20K→%39.10, 50K→%35.89 trendi, hiperparametrelerin veri büyüklüğüne göre optimize edilmesi gerektiğini kanıtlamaktadır.</w:t>
      </w:r>
    </w:p>
    <w:p>
      <w:pPr>
        <w:spacing w:before="200" w:after="60"/>
      </w:pPr>
      <w:r>
        <w:rPr>
          <w:b/>
          <w:color w:val="222222"/>
          <w:sz w:val="26"/>
        </w:rPr>
        <w:t>5.6 Şekil 4 — Görsel Bilginin Katkısı</w:t>
      </w:r>
    </w:p>
    <w:p>
      <w:pPr>
        <w:spacing w:before="120" w:after="40"/>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40000" cy="3780000"/>
                    </a:xfrm>
                    <a:prstGeom prst="rect"/>
                  </pic:spPr>
                </pic:pic>
              </a:graphicData>
            </a:graphic>
          </wp:inline>
        </w:drawing>
      </w:r>
    </w:p>
    <w:p>
      <w:pPr>
        <w:spacing w:before="40" w:after="160"/>
        <w:jc w:val="center"/>
      </w:pPr>
      <w:r>
        <w:rPr>
          <w:b/>
          <w:i/>
          <w:color w:val="444444"/>
          <w:sz w:val="18"/>
        </w:rPr>
        <w:t>Şekil 4: Question-Only (%18.35) vs CNN+LSTM (%41.20). +22.85 puan katkı.</w:t>
      </w:r>
    </w:p>
    <w:p>
      <w:pPr>
        <w:spacing w:before="40" w:after="60" w:line="280" w:lineRule="exact"/>
        <w:jc w:val="both"/>
      </w:pPr>
      <w:r>
        <w:rPr>
          <w:i w:val="0"/>
          <w:color w:val="111111"/>
          <w:sz w:val="20"/>
        </w:rPr>
        <w:t>+22.85 puanlık fark, görsel bilginin uzamsal akıl yürütme sorularında kritik rol oynadığını kanıtlamaktadır.</w:t>
      </w:r>
    </w:p>
    <w:p>
      <w:pPr>
        <w:spacing w:before="280" w:after="40"/>
      </w:pPr>
      <w:r>
        <w:rPr>
          <w:b/>
          <w:color w:val="111111"/>
          <w:sz w:val="32"/>
        </w:rPr>
        <w:t>6. Tartışma</w:t>
      </w:r>
    </w:p>
    <w:p>
      <w:pPr>
        <w:spacing w:before="40" w:after="80"/>
        <w:pBdr>
          <w:bottom w:val="single" w:sz="6" w:space="1" w:color="222222"/>
        </w:pBdr>
      </w:pPr>
    </w:p>
    <w:p>
      <w:pPr>
        <w:spacing w:before="200" w:after="60"/>
      </w:pPr>
      <w:r>
        <w:rPr>
          <w:b/>
          <w:color w:val="222222"/>
          <w:sz w:val="26"/>
        </w:rPr>
        <w:t>6.1 Dikkat Mekanizmasının Sınırlı Veriyle Performansı</w:t>
      </w:r>
    </w:p>
    <w:p>
      <w:pPr>
        <w:spacing w:before="40" w:after="60" w:line="280" w:lineRule="exact"/>
        <w:jc w:val="both"/>
      </w:pPr>
      <w:r>
        <w:rPr>
          <w:i w:val="0"/>
          <w:color w:val="111111"/>
          <w:sz w:val="20"/>
        </w:rPr>
        <w:t>SAN'ın CNN+LSTM'den düşük doğruluk elde etmesi, dikkat mekanizmasının teorik üstünlüğünün 5.000 örnekle pratiğe yansımadığını göstermektedir. Orijinal makalede 248.000 örnekle çalışılmıştır; bu 50 katlık fark belirleyicidir.</w:t>
      </w:r>
    </w:p>
    <w:p>
      <w:pPr>
        <w:spacing w:before="80" w:after="80"/>
        <w:ind w:left="283"/>
        <w:pBdr>
          <w:left w:val="single" w:sz="12" w:space="4" w:color="333333"/>
        </w:pBdr>
      </w:pPr>
      <w:r>
        <w:rPr>
          <w:i/>
          <w:color w:val="222222"/>
          <w:sz w:val="20"/>
        </w:rPr>
        <w:t>Bulgu: Veri miktarının model karmaşıklığıyla uyumlu olması gerektiği bu deneyimle kanıtlanmıştır.</w:t>
      </w:r>
    </w:p>
    <w:p>
      <w:pPr>
        <w:spacing w:before="200" w:after="60"/>
      </w:pPr>
      <w:r>
        <w:rPr>
          <w:b/>
          <w:color w:val="222222"/>
          <w:sz w:val="26"/>
        </w:rPr>
        <w:t>6.2 Veri Miktarı ve Hiperparametre İlişkisi</w:t>
      </w:r>
    </w:p>
    <w:p>
      <w:pPr>
        <w:spacing w:before="40" w:after="60" w:line="280" w:lineRule="exact"/>
        <w:jc w:val="both"/>
      </w:pPr>
      <w:r>
        <w:rPr>
          <w:i w:val="0"/>
          <w:color w:val="111111"/>
          <w:sz w:val="20"/>
        </w:rPr>
        <w:t>Veri miktarı artırıldığında doğruluğun düştüğü gözlemlenmiştir. Öğrenme hızı ve batch size'ın veri büyüklüğüne göre yeniden ayarlanması gerektiği bu deneyimle somut biçimde kanıtlanmıştır.</w:t>
      </w:r>
    </w:p>
    <w:p>
      <w:pPr>
        <w:spacing w:before="200" w:after="60"/>
      </w:pPr>
      <w:r>
        <w:rPr>
          <w:b/>
          <w:color w:val="222222"/>
          <w:sz w:val="26"/>
        </w:rPr>
        <w:t>6.3 BLIP-2 Donanımsal Kısıtları</w:t>
      </w:r>
    </w:p>
    <w:p>
      <w:pPr>
        <w:spacing w:before="40" w:after="60" w:line="280" w:lineRule="exact"/>
        <w:jc w:val="both"/>
      </w:pPr>
      <w:r>
        <w:rPr>
          <w:i w:val="0"/>
          <w:color w:val="111111"/>
          <w:sz w:val="20"/>
        </w:rPr>
        <w:t>8GB VRAM'de batch başına ~92 saniye işlem süresiyle karşılaşılmıştır. Tam epoch için ~32 saatlik hesaplama gerekmesi fine-tuning'i imkansız kılmıştır. 24GB+ VRAM ile çok daha verimli yürütülebileceği öngörülmektedir.</w:t>
      </w:r>
    </w:p>
    <w:p>
      <w:pPr>
        <w:spacing w:before="200" w:after="60"/>
      </w:pPr>
      <w:r>
        <w:rPr>
          <w:b/>
          <w:color w:val="222222"/>
          <w:sz w:val="26"/>
        </w:rPr>
        <w:t>6.4 Dil Önyargısı Analizi</w:t>
      </w:r>
    </w:p>
    <w:p>
      <w:pPr>
        <w:spacing w:before="40" w:after="60" w:line="280" w:lineRule="exact"/>
        <w:jc w:val="both"/>
      </w:pPr>
      <w:r>
        <w:rPr>
          <w:i w:val="0"/>
          <w:color w:val="111111"/>
          <w:sz w:val="20"/>
        </w:rPr>
        <w:t>Question-Only %18.35 ile veri setinde dil önyargısı bulunduğunu göstermektedir. Görüntü eklenince +22.85 puanlık artış görsel bilginin kritik önemini kanıtlamaktadır.</w:t>
      </w:r>
    </w:p>
    <w:p>
      <w:pPr>
        <w:spacing w:before="280" w:after="40"/>
      </w:pPr>
      <w:r>
        <w:rPr>
          <w:b/>
          <w:color w:val="111111"/>
          <w:sz w:val="32"/>
        </w:rPr>
        <w:t>7. Sonuç ve Değerlendirme</w:t>
      </w:r>
    </w:p>
    <w:p>
      <w:pPr>
        <w:spacing w:before="40" w:after="80"/>
        <w:pBdr>
          <w:bottom w:val="single" w:sz="6" w:space="1" w:color="222222"/>
        </w:pBdr>
      </w:pPr>
    </w:p>
    <w:p>
      <w:pPr>
        <w:spacing w:before="40" w:after="60" w:line="280" w:lineRule="exact"/>
        <w:jc w:val="both"/>
      </w:pPr>
      <w:r>
        <w:rPr>
          <w:i w:val="0"/>
          <w:color w:val="111111"/>
          <w:sz w:val="20"/>
        </w:rPr>
        <w:t>Bu proje sürecinde öğrendiğim en önemli şey şu oldu: daha fazla veri her zaman daha yüksek doğruluk anlamına gelmiyor. Veri miktarını artırdığımda doğruluğun düştüğünü görünce, asıl sorunun hiperparametrelerin güncellenmemesi olduğunu fark ettim. Öte yandan her epoch sonunda train loss düşerken validation accuracy'nin de düşmesi, overfitting'i bizzat gözlemleme fırsatı verdi. Bu yüzden early stopping mekanizmasını ekledim.</w:t>
      </w:r>
    </w:p>
    <w:p>
      <w:pPr>
        <w:spacing w:before="40" w:after="60" w:line="280" w:lineRule="exact"/>
        <w:jc w:val="both"/>
      </w:pPr>
      <w:r>
        <w:rPr>
          <w:i w:val="0"/>
          <w:color w:val="111111"/>
          <w:sz w:val="20"/>
        </w:rPr>
        <w:t>SAN modelinin CNN+LSTM'den düşük sonuç vermesi de beklemediğim bir durumdu. Dikkat mekanizması teorik olarak daha güçlü olmasına rağmen, bu avantajını göstermek için çok daha fazla veriye ihtiyacı olduğunu öğrendim. Daha karmaşık bir model her zaman daha iyi sonuç vermez; model ile veri miktarı arasında bir denge kurulması gerekir.</w:t>
      </w:r>
    </w:p>
    <w:p>
      <w:pPr>
        <w:spacing w:before="40" w:after="60" w:line="280" w:lineRule="exact"/>
        <w:jc w:val="both"/>
      </w:pPr>
      <w:r>
        <w:rPr>
          <w:i w:val="0"/>
          <w:color w:val="111111"/>
          <w:sz w:val="20"/>
        </w:rPr>
        <w:t>BLIP-2'yi kendi bilgisayarımda, herhangi bir API'ye bağlanmadan tamamen yerel olarak çalıştırmak ve gerçek fotoğraflara doğru cevap verdiğini görmek tatmin ediciydi. Fine-tuning sürecinde ise 8GB VRAM kısıtı nedeniyle batch başına ~92 saniye işlem süreciyle karşılaştım. Bu, büyük transformer modellerinin tüketici GPU'larında LoRA ve quantization gibi teknikler olmadan fine-tuning yapmanın pratikte mümkün olmadığını gösterdi.</w:t>
      </w:r>
    </w:p>
    <w:p>
      <w:pPr>
        <w:spacing w:before="40" w:after="60" w:line="280" w:lineRule="exact"/>
        <w:jc w:val="both"/>
      </w:pPr>
      <w:r>
        <w:rPr>
          <w:i w:val="0"/>
          <w:color w:val="111111"/>
          <w:sz w:val="20"/>
        </w:rPr>
        <w:t>Genel olarak bu proje bana derin öğrenmede önemli olanın çok veri değil, temiz ve düzgün veri olduğunu öğretti. Büyük dil modellerinde hangi tekniklerin kullanıldığını ve hangi yöntemlerin daha az maliyetle daha iyi sonuç verdiğini bizzat deneyimleyerek anladım.</w:t>
      </w:r>
    </w:p>
    <w:p>
      <w:pPr>
        <w:spacing w:before="80" w:after="80"/>
        <w:ind w:left="283"/>
        <w:pBdr>
          <w:left w:val="single" w:sz="12" w:space="4" w:color="333333"/>
        </w:pBdr>
      </w:pPr>
      <w:r>
        <w:rPr>
          <w:i/>
          <w:color w:val="222222"/>
          <w:sz w:val="20"/>
        </w:rPr>
        <w:t>Özet: Daha fazla veri her zaman daha iyi sonuç değildir. Temiz veri, doğru hiperparametreler ve overfitting kontrolü belirleyicidir. Büyük modeller güçlüdür ama donanım kısıtlarına dikkat gerektirir.</w:t>
      </w:r>
    </w:p>
    <w:p>
      <w:pPr>
        <w:spacing w:before="200" w:after="60"/>
      </w:pPr>
      <w:r>
        <w:rPr>
          <w:b/>
          <w:color w:val="222222"/>
          <w:sz w:val="26"/>
        </w:rPr>
        <w:t>7.1 Gelecek Çalışmalar</w:t>
      </w:r>
    </w:p>
    <w:p>
      <w:pPr>
        <w:pStyle w:val="ListBullet"/>
        <w:spacing w:before="20" w:after="20"/>
      </w:pPr>
      <w:r>
        <w:rPr>
          <w:color w:val="111111"/>
          <w:sz w:val="20"/>
        </w:rPr>
        <w:t>Daha güçlü GPU (24GB+ VRAM) ile BLIP-2 fine-tuning sürecinin tamamlanması.</w:t>
      </w:r>
    </w:p>
    <w:p>
      <w:pPr>
        <w:pStyle w:val="ListBullet"/>
        <w:spacing w:before="20" w:after="20"/>
      </w:pPr>
      <w:r>
        <w:rPr>
          <w:color w:val="111111"/>
          <w:sz w:val="20"/>
        </w:rPr>
        <w:t>Veri miktarı artırılırken hiperparametrelerin birlikte optimize edilmesi.</w:t>
      </w:r>
    </w:p>
    <w:p>
      <w:pPr>
        <w:pStyle w:val="ListBullet"/>
        <w:spacing w:before="20" w:after="20"/>
      </w:pPr>
      <w:r>
        <w:rPr>
          <w:color w:val="111111"/>
          <w:sz w:val="20"/>
        </w:rPr>
        <w:t>Türkçe soru desteği ile çok dilli VQA sistemine genişletilmesi.</w:t>
      </w:r>
    </w:p>
    <w:p>
      <w:pPr>
        <w:spacing w:before="280" w:after="40"/>
      </w:pPr>
      <w:r>
        <w:rPr>
          <w:b/>
          <w:color w:val="111111"/>
          <w:sz w:val="32"/>
        </w:rPr>
        <w:t>Kaynakça</w:t>
      </w:r>
    </w:p>
    <w:p>
      <w:pPr>
        <w:spacing w:before="40" w:after="80"/>
        <w:pBdr>
          <w:bottom w:val="single" w:sz="6" w:space="1" w:color="222222"/>
        </w:pBdr>
      </w:pPr>
    </w:p>
    <w:p>
      <w:pPr>
        <w:spacing w:before="40" w:after="60" w:line="280" w:lineRule="exact"/>
        <w:jc w:val="both"/>
      </w:pPr>
      <w:r>
        <w:rPr>
          <w:i w:val="0"/>
          <w:color w:val="111111"/>
          <w:sz w:val="20"/>
        </w:rPr>
        <w:t>[1] Antol et al. (2015). VQA: Visual Question Answering. ICCV 2015.</w:t>
      </w:r>
    </w:p>
    <w:p>
      <w:pPr>
        <w:spacing w:before="40" w:after="60" w:line="280" w:lineRule="exact"/>
        <w:jc w:val="both"/>
      </w:pPr>
      <w:r>
        <w:rPr>
          <w:i w:val="0"/>
          <w:color w:val="111111"/>
          <w:sz w:val="20"/>
        </w:rPr>
        <w:t>[2] Ren, Kiros, Zemel (2015). Exploring Models and Data for Image QA. NeurIPS 2015.</w:t>
      </w:r>
    </w:p>
    <w:p>
      <w:pPr>
        <w:spacing w:before="40" w:after="60" w:line="280" w:lineRule="exact"/>
        <w:jc w:val="both"/>
      </w:pPr>
      <w:r>
        <w:rPr>
          <w:i w:val="0"/>
          <w:color w:val="111111"/>
          <w:sz w:val="20"/>
        </w:rPr>
        <w:t>[3] Yang et al. (2016). Stacked Attention Networks for Image QA. CVPR 2016.</w:t>
      </w:r>
    </w:p>
    <w:p>
      <w:pPr>
        <w:spacing w:before="40" w:after="60" w:line="280" w:lineRule="exact"/>
        <w:jc w:val="both"/>
      </w:pPr>
      <w:r>
        <w:rPr>
          <w:i w:val="0"/>
          <w:color w:val="111111"/>
          <w:sz w:val="20"/>
        </w:rPr>
        <w:t>[4] Fukui et al. (2016). Multimodal Compact Bilinear Pooling for VQA. EMNLP 2016.</w:t>
      </w:r>
    </w:p>
    <w:p>
      <w:pPr>
        <w:spacing w:before="40" w:after="60" w:line="280" w:lineRule="exact"/>
        <w:jc w:val="both"/>
      </w:pPr>
      <w:r>
        <w:rPr>
          <w:i w:val="0"/>
          <w:color w:val="111111"/>
          <w:sz w:val="20"/>
        </w:rPr>
        <w:t>[5] Anderson et al. (2018). Bottom-Up and Top-Down Attention. CVPR 2018.</w:t>
      </w:r>
    </w:p>
    <w:p>
      <w:pPr>
        <w:spacing w:before="40" w:after="60" w:line="280" w:lineRule="exact"/>
        <w:jc w:val="both"/>
      </w:pPr>
      <w:r>
        <w:rPr>
          <w:i w:val="0"/>
          <w:color w:val="111111"/>
          <w:sz w:val="20"/>
        </w:rPr>
        <w:t>[6] Lu et al. (2019). ViLBERT: Pretraining Visiolinguistic Representations. NeurIPS 2019.</w:t>
      </w:r>
    </w:p>
    <w:p>
      <w:pPr>
        <w:spacing w:before="40" w:after="60" w:line="280" w:lineRule="exact"/>
        <w:jc w:val="both"/>
      </w:pPr>
      <w:r>
        <w:rPr>
          <w:i w:val="0"/>
          <w:color w:val="111111"/>
          <w:sz w:val="20"/>
        </w:rPr>
        <w:t>[7] Li et al. (2023). BLIP-2: Bootstrapping Language-Image Pre-training. ICML 2023.</w:t>
      </w:r>
    </w:p>
    <w:p>
      <w:pPr>
        <w:spacing w:before="40" w:after="60" w:line="280" w:lineRule="exact"/>
        <w:jc w:val="both"/>
      </w:pPr>
      <w:r>
        <w:rPr>
          <w:i w:val="0"/>
          <w:color w:val="111111"/>
          <w:sz w:val="20"/>
        </w:rPr>
        <w:t>[8] Goyal et al. (2017). Making the V in VQA Matter. CVPR 2017.</w:t>
      </w:r>
    </w:p>
    <w:p>
      <w:pPr>
        <w:spacing w:before="40" w:after="60" w:line="280" w:lineRule="exact"/>
        <w:jc w:val="both"/>
      </w:pPr>
      <w:r>
        <w:rPr>
          <w:i w:val="0"/>
          <w:color w:val="111111"/>
          <w:sz w:val="20"/>
        </w:rPr>
        <w:t>[9] Hu et al. (2022). LoRA: Low-Rank Adaptation of Large Language Models. ICLR 2022.</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