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  <w:color w:val="0f5132"/>
          <w:sz w:val="32"/>
          <w:szCs w:val="32"/>
        </w:rPr>
        <w:t xml:space="preserve">SALÂ — SALÂT-I ÜMMIYYE</w:t>
      </w:r>
    </w:p>
    <w:p>
      <w:pPr>
        <w:spacing w:after="160"/>
        <w:jc w:val="center"/>
      </w:pPr>
      <w:r>
        <w:rPr>
          <w:i/>
          <w:iCs/>
          <w:color w:val="44564e"/>
          <w:sz w:val="24"/>
          <w:szCs w:val="24"/>
        </w:rPr>
        <w:t xml:space="preserve">Cuma ve Kandil Salâsı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Makam: Segâh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Usûl: Serbest (nöbet)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Bestekâr: Anonim (geleneksel)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Güftekâr: Anonim (geleneksel)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60"/>
        <w:jc w:val="both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Allâhümme salli alâ seyyidinâ Muhammedin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Ve alâ âli seyyidinâ Muhammedin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Salât-ı dâimeten bi-devâmi mülkillâhi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El-ekberi'l-ekrem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Ve'l-ekremîne'l-mükerremîne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İlâ yevmi'd-dîni'l-ekber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i/>
          <w:iCs/>
          <w:color w:val="44564e"/>
          <w:sz w:val="24"/>
          <w:szCs w:val="24"/>
        </w:rPr>
        <w:t xml:space="preserve">Notası (porte) resim olarak üretilemediği için bu dosyaya gömülü not eklenmemiştir; ilgili ilâhinin notası TRT nota arşivi ve ilâhî/mevlid nota kaynaklarından temin edilip bu belgeye eklenebilir. Geleneksel ilâhî metinleri yörelere göre değişebilir.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2026-08-01T14:12:01.332Z</dcterms:created>
  <dcterms:modified xsi:type="dcterms:W3CDTF">2026-08-01T14:12:01.332Z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