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  <w:jc w:val="center"/>
      </w:pPr>
      <w:r>
        <w:rPr>
          <w:b/>
          <w:bCs/>
          <w:color w:val="0f5132"/>
          <w:sz w:val="32"/>
          <w:szCs w:val="32"/>
        </w:rPr>
        <w:t xml:space="preserve">RA'D SÛRESİ 28. ÂYET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200"/>
        <w:jc w:val="right"/>
      </w:pPr>
      <w:r>
        <w:rPr>
          <w:color w:val="1a1a1a"/>
          <w:sz w:val="30"/>
          <w:szCs w:val="30"/>
          <w:rFonts w:ascii="Traditional Arabic" w:cs="Traditional Arabic" w:eastAsia="Traditional Arabic" w:hAnsi="Traditional Arabic" w:hint="eastAsia"/>
        </w:rPr>
        <w:t xml:space="preserve">اَلَّذ۪ينَ اٰمَنُوا وَتَطْمَئِنُّ قُلُوبُهُمْ بِذِكْرِ اللّٰهِۜ اَلَا بِذِكْرِ اللّٰهِ تَطْمَئِنُّ الْقُلُوبُ ۝٢٨</w:t>
      </w:r>
    </w:p>
    <w:p>
      <w:pPr>
        <w:spacing w:after="80"/>
        <w:jc w:val="both"/>
      </w:pPr>
      <w:r>
        <w:rPr>
          <w:color w:val="1a1a1a"/>
          <w:sz w:val="24"/>
          <w:szCs w:val="24"/>
        </w:rPr>
      </w:r>
    </w:p>
    <w:p>
      <w:pPr>
        <w:spacing w:after="160"/>
        <w:jc w:val="both"/>
      </w:pPr>
      <w:r>
        <w:rPr>
          <w:b/>
          <w:bCs/>
          <w:color w:val="0f5132"/>
          <w:sz w:val="26"/>
          <w:szCs w:val="26"/>
        </w:rPr>
        <w:t xml:space="preserve">MEÂLİ</w:t>
      </w:r>
    </w:p>
    <w:p>
      <w:pPr>
        <w:spacing w:after="160"/>
        <w:jc w:val="both"/>
      </w:pPr>
      <w:r>
        <w:rPr>
          <w:i/>
          <w:iCs/>
          <w:color w:val="44564e"/>
          <w:sz w:val="24"/>
          <w:szCs w:val="24"/>
        </w:rPr>
        <w:t xml:space="preserve">Onlar, iman edenler ve gönülleri Allah'ı anmakla huzura kavuşanlardır. Biliniz ki kalpler ancak Allah'ı anmakla huzur bulur.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2026-08-01T12:31:21.694Z</dcterms:created>
  <dcterms:modified xsi:type="dcterms:W3CDTF">2026-08-01T12:31:21.694Z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