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8BD60" w14:textId="240A0F25" w:rsidR="001E4F2A" w:rsidRDefault="00000000">
      <w:pPr>
        <w:jc w:val="center"/>
      </w:pPr>
      <w:r>
        <w:rPr>
          <w:b/>
          <w:sz w:val="36"/>
        </w:rPr>
        <w:t>TRIAL MANAGEMENT PLAN</w:t>
      </w:r>
    </w:p>
    <w:p w14:paraId="1F25B9E2" w14:textId="77777777" w:rsidR="001E4F2A" w:rsidRDefault="00000000">
      <w:pPr>
        <w:jc w:val="center"/>
      </w:pPr>
      <w:r>
        <w:rPr>
          <w:b/>
          <w:sz w:val="26"/>
        </w:rPr>
        <w:t>IMM-2026-001</w:t>
      </w:r>
    </w:p>
    <w:p w14:paraId="0558DAD0" w14:textId="77777777" w:rsidR="001E4F2A" w:rsidRDefault="00000000">
      <w:pPr>
        <w:jc w:val="center"/>
      </w:pPr>
      <w:r>
        <w:rPr>
          <w:i/>
        </w:rPr>
        <w:t>Version 1.0 — DRAFT</w:t>
      </w:r>
    </w:p>
    <w:p w14:paraId="3CCF0A85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E4F2A" w14:paraId="2FD71F28" w14:textId="77777777">
        <w:trPr>
          <w:jc w:val="center"/>
        </w:trPr>
        <w:tc>
          <w:tcPr>
            <w:tcW w:w="4320" w:type="dxa"/>
          </w:tcPr>
          <w:p w14:paraId="6DD3698E" w14:textId="77777777" w:rsidR="001E4F2A" w:rsidRDefault="00000000">
            <w:r>
              <w:t>Document Name</w:t>
            </w:r>
          </w:p>
        </w:tc>
        <w:tc>
          <w:tcPr>
            <w:tcW w:w="4320" w:type="dxa"/>
          </w:tcPr>
          <w:p w14:paraId="6285533C" w14:textId="77777777" w:rsidR="001E4F2A" w:rsidRDefault="00000000">
            <w:r>
              <w:t>Trial Management Plan</w:t>
            </w:r>
          </w:p>
        </w:tc>
      </w:tr>
      <w:tr w:rsidR="001E4F2A" w14:paraId="580884DC" w14:textId="77777777">
        <w:trPr>
          <w:jc w:val="center"/>
        </w:trPr>
        <w:tc>
          <w:tcPr>
            <w:tcW w:w="4320" w:type="dxa"/>
          </w:tcPr>
          <w:p w14:paraId="6AD30CC2" w14:textId="77777777" w:rsidR="001E4F2A" w:rsidRDefault="00000000">
            <w:r>
              <w:t>Document ID</w:t>
            </w:r>
          </w:p>
        </w:tc>
        <w:tc>
          <w:tcPr>
            <w:tcW w:w="4320" w:type="dxa"/>
          </w:tcPr>
          <w:p w14:paraId="3D9D5667" w14:textId="77777777" w:rsidR="001E4F2A" w:rsidRDefault="00000000">
            <w:r>
              <w:t>DOC-0002</w:t>
            </w:r>
          </w:p>
        </w:tc>
      </w:tr>
      <w:tr w:rsidR="001E4F2A" w14:paraId="61DF6966" w14:textId="77777777">
        <w:trPr>
          <w:jc w:val="center"/>
        </w:trPr>
        <w:tc>
          <w:tcPr>
            <w:tcW w:w="4320" w:type="dxa"/>
          </w:tcPr>
          <w:p w14:paraId="59DDC4C9" w14:textId="77777777" w:rsidR="001E4F2A" w:rsidRDefault="00000000">
            <w:r>
              <w:t>Artifact ID</w:t>
            </w:r>
          </w:p>
        </w:tc>
        <w:tc>
          <w:tcPr>
            <w:tcW w:w="4320" w:type="dxa"/>
          </w:tcPr>
          <w:p w14:paraId="2BD33D32" w14:textId="77777777" w:rsidR="001E4F2A" w:rsidRDefault="00000000">
            <w:r>
              <w:t>01.01.02</w:t>
            </w:r>
          </w:p>
        </w:tc>
      </w:tr>
      <w:tr w:rsidR="001E4F2A" w14:paraId="2D3FD8C0" w14:textId="77777777">
        <w:trPr>
          <w:jc w:val="center"/>
        </w:trPr>
        <w:tc>
          <w:tcPr>
            <w:tcW w:w="4320" w:type="dxa"/>
          </w:tcPr>
          <w:p w14:paraId="52DB5DC6" w14:textId="77777777" w:rsidR="001E4F2A" w:rsidRDefault="00000000">
            <w:r>
              <w:t>Study ID</w:t>
            </w:r>
          </w:p>
        </w:tc>
        <w:tc>
          <w:tcPr>
            <w:tcW w:w="4320" w:type="dxa"/>
          </w:tcPr>
          <w:p w14:paraId="44A9481A" w14:textId="77777777" w:rsidR="001E4F2A" w:rsidRDefault="00000000">
            <w:r>
              <w:t>IMM-2026-001</w:t>
            </w:r>
          </w:p>
        </w:tc>
      </w:tr>
      <w:tr w:rsidR="001E4F2A" w14:paraId="327400B1" w14:textId="77777777">
        <w:trPr>
          <w:jc w:val="center"/>
        </w:trPr>
        <w:tc>
          <w:tcPr>
            <w:tcW w:w="4320" w:type="dxa"/>
          </w:tcPr>
          <w:p w14:paraId="056B0649" w14:textId="77777777" w:rsidR="001E4F2A" w:rsidRDefault="00000000">
            <w:r>
              <w:t>Sponsor</w:t>
            </w:r>
          </w:p>
        </w:tc>
        <w:tc>
          <w:tcPr>
            <w:tcW w:w="4320" w:type="dxa"/>
          </w:tcPr>
          <w:p w14:paraId="75DCCB66" w14:textId="77777777" w:rsidR="001E4F2A" w:rsidRDefault="00000000">
            <w:r>
              <w:t>Fictional Pharma Ltd.</w:t>
            </w:r>
          </w:p>
        </w:tc>
      </w:tr>
      <w:tr w:rsidR="001E4F2A" w14:paraId="122F506A" w14:textId="77777777">
        <w:trPr>
          <w:jc w:val="center"/>
        </w:trPr>
        <w:tc>
          <w:tcPr>
            <w:tcW w:w="4320" w:type="dxa"/>
          </w:tcPr>
          <w:p w14:paraId="274B4AB6" w14:textId="77777777" w:rsidR="001E4F2A" w:rsidRDefault="00000000">
            <w:r>
              <w:t>Therapeutic Area</w:t>
            </w:r>
          </w:p>
        </w:tc>
        <w:tc>
          <w:tcPr>
            <w:tcW w:w="4320" w:type="dxa"/>
          </w:tcPr>
          <w:p w14:paraId="0E7DFBBE" w14:textId="77777777" w:rsidR="001E4F2A" w:rsidRDefault="00000000">
            <w:r>
              <w:t>Immunology / Allergy</w:t>
            </w:r>
          </w:p>
        </w:tc>
      </w:tr>
      <w:tr w:rsidR="001E4F2A" w14:paraId="32F7A718" w14:textId="77777777">
        <w:trPr>
          <w:jc w:val="center"/>
        </w:trPr>
        <w:tc>
          <w:tcPr>
            <w:tcW w:w="4320" w:type="dxa"/>
          </w:tcPr>
          <w:p w14:paraId="3C2CA250" w14:textId="77777777" w:rsidR="001E4F2A" w:rsidRDefault="00000000">
            <w:r>
              <w:t>Indication</w:t>
            </w:r>
          </w:p>
        </w:tc>
        <w:tc>
          <w:tcPr>
            <w:tcW w:w="4320" w:type="dxa"/>
          </w:tcPr>
          <w:p w14:paraId="175BAC8F" w14:textId="77777777" w:rsidR="001E4F2A" w:rsidRDefault="00000000">
            <w:r>
              <w:t>Moderate-to-Severe Atopic Dermatitis</w:t>
            </w:r>
          </w:p>
        </w:tc>
      </w:tr>
      <w:tr w:rsidR="001E4F2A" w14:paraId="4E4BE0E3" w14:textId="77777777">
        <w:trPr>
          <w:jc w:val="center"/>
        </w:trPr>
        <w:tc>
          <w:tcPr>
            <w:tcW w:w="4320" w:type="dxa"/>
          </w:tcPr>
          <w:p w14:paraId="61D1FF96" w14:textId="77777777" w:rsidR="001E4F2A" w:rsidRDefault="00000000">
            <w:r>
              <w:t>Study Phase</w:t>
            </w:r>
          </w:p>
        </w:tc>
        <w:tc>
          <w:tcPr>
            <w:tcW w:w="4320" w:type="dxa"/>
          </w:tcPr>
          <w:p w14:paraId="5046FC5A" w14:textId="77777777" w:rsidR="001E4F2A" w:rsidRDefault="00000000">
            <w:r>
              <w:t>Phase II</w:t>
            </w:r>
          </w:p>
        </w:tc>
      </w:tr>
      <w:tr w:rsidR="001E4F2A" w14:paraId="00FFCBD2" w14:textId="77777777">
        <w:trPr>
          <w:jc w:val="center"/>
        </w:trPr>
        <w:tc>
          <w:tcPr>
            <w:tcW w:w="4320" w:type="dxa"/>
          </w:tcPr>
          <w:p w14:paraId="4FFF3649" w14:textId="77777777" w:rsidR="001E4F2A" w:rsidRDefault="00000000">
            <w:r>
              <w:t>Study Design</w:t>
            </w:r>
          </w:p>
        </w:tc>
        <w:tc>
          <w:tcPr>
            <w:tcW w:w="4320" w:type="dxa"/>
          </w:tcPr>
          <w:p w14:paraId="0CD275D9" w14:textId="77777777" w:rsidR="001E4F2A" w:rsidRDefault="00000000">
            <w:r>
              <w:t>Randomized, Double-Blind, Placebo-Controlled</w:t>
            </w:r>
          </w:p>
        </w:tc>
      </w:tr>
      <w:tr w:rsidR="001E4F2A" w14:paraId="42AFFFC4" w14:textId="77777777">
        <w:trPr>
          <w:jc w:val="center"/>
        </w:trPr>
        <w:tc>
          <w:tcPr>
            <w:tcW w:w="4320" w:type="dxa"/>
          </w:tcPr>
          <w:p w14:paraId="703ADD6D" w14:textId="77777777" w:rsidR="001E4F2A" w:rsidRDefault="00000000">
            <w:r>
              <w:t>Investigational Product</w:t>
            </w:r>
          </w:p>
        </w:tc>
        <w:tc>
          <w:tcPr>
            <w:tcW w:w="4320" w:type="dxa"/>
          </w:tcPr>
          <w:p w14:paraId="1D4D89E6" w14:textId="77777777" w:rsidR="001E4F2A" w:rsidRDefault="00000000">
            <w:r>
              <w:t>IMM-101</w:t>
            </w:r>
          </w:p>
        </w:tc>
      </w:tr>
      <w:tr w:rsidR="001E4F2A" w14:paraId="0254F66B" w14:textId="77777777">
        <w:trPr>
          <w:jc w:val="center"/>
        </w:trPr>
        <w:tc>
          <w:tcPr>
            <w:tcW w:w="4320" w:type="dxa"/>
          </w:tcPr>
          <w:p w14:paraId="74F3D96B" w14:textId="77777777" w:rsidR="001E4F2A" w:rsidRDefault="00000000">
            <w:r>
              <w:t>Level</w:t>
            </w:r>
          </w:p>
        </w:tc>
        <w:tc>
          <w:tcPr>
            <w:tcW w:w="4320" w:type="dxa"/>
          </w:tcPr>
          <w:p w14:paraId="49E8C832" w14:textId="77777777" w:rsidR="001E4F2A" w:rsidRDefault="00000000">
            <w:r>
              <w:t>Trial</w:t>
            </w:r>
          </w:p>
        </w:tc>
      </w:tr>
      <w:tr w:rsidR="001E4F2A" w14:paraId="308200AB" w14:textId="77777777">
        <w:trPr>
          <w:jc w:val="center"/>
        </w:trPr>
        <w:tc>
          <w:tcPr>
            <w:tcW w:w="4320" w:type="dxa"/>
          </w:tcPr>
          <w:p w14:paraId="107E0898" w14:textId="77777777" w:rsidR="001E4F2A" w:rsidRDefault="00000000">
            <w:r>
              <w:t>Country</w:t>
            </w:r>
          </w:p>
        </w:tc>
        <w:tc>
          <w:tcPr>
            <w:tcW w:w="4320" w:type="dxa"/>
          </w:tcPr>
          <w:p w14:paraId="4E1C58A8" w14:textId="77777777" w:rsidR="001E4F2A" w:rsidRDefault="00000000">
            <w:r>
              <w:t>Global</w:t>
            </w:r>
          </w:p>
        </w:tc>
      </w:tr>
      <w:tr w:rsidR="001E4F2A" w14:paraId="2CC9F2D3" w14:textId="77777777">
        <w:trPr>
          <w:jc w:val="center"/>
        </w:trPr>
        <w:tc>
          <w:tcPr>
            <w:tcW w:w="4320" w:type="dxa"/>
          </w:tcPr>
          <w:p w14:paraId="06607F95" w14:textId="77777777" w:rsidR="001E4F2A" w:rsidRDefault="00000000">
            <w:r>
              <w:t>Site</w:t>
            </w:r>
          </w:p>
        </w:tc>
        <w:tc>
          <w:tcPr>
            <w:tcW w:w="4320" w:type="dxa"/>
          </w:tcPr>
          <w:p w14:paraId="3F0B3A57" w14:textId="77777777" w:rsidR="001E4F2A" w:rsidRDefault="00000000">
            <w:r>
              <w:t>N/A</w:t>
            </w:r>
          </w:p>
        </w:tc>
      </w:tr>
      <w:tr w:rsidR="001E4F2A" w14:paraId="2F671FBB" w14:textId="77777777">
        <w:trPr>
          <w:jc w:val="center"/>
        </w:trPr>
        <w:tc>
          <w:tcPr>
            <w:tcW w:w="4320" w:type="dxa"/>
          </w:tcPr>
          <w:p w14:paraId="5A754C9C" w14:textId="77777777" w:rsidR="001E4F2A" w:rsidRDefault="00000000">
            <w:r>
              <w:t>Version</w:t>
            </w:r>
          </w:p>
        </w:tc>
        <w:tc>
          <w:tcPr>
            <w:tcW w:w="4320" w:type="dxa"/>
          </w:tcPr>
          <w:p w14:paraId="6108F335" w14:textId="77777777" w:rsidR="001E4F2A" w:rsidRDefault="00000000">
            <w:r>
              <w:t>1.0</w:t>
            </w:r>
          </w:p>
        </w:tc>
      </w:tr>
      <w:tr w:rsidR="001E4F2A" w14:paraId="2B5C5AF9" w14:textId="77777777">
        <w:trPr>
          <w:jc w:val="center"/>
        </w:trPr>
        <w:tc>
          <w:tcPr>
            <w:tcW w:w="4320" w:type="dxa"/>
          </w:tcPr>
          <w:p w14:paraId="22391CDB" w14:textId="77777777" w:rsidR="001E4F2A" w:rsidRDefault="00000000">
            <w:r>
              <w:t>Status</w:t>
            </w:r>
          </w:p>
        </w:tc>
        <w:tc>
          <w:tcPr>
            <w:tcW w:w="4320" w:type="dxa"/>
          </w:tcPr>
          <w:p w14:paraId="0414C1D2" w14:textId="77777777" w:rsidR="001E4F2A" w:rsidRDefault="00000000">
            <w:r>
              <w:t>Draft</w:t>
            </w:r>
          </w:p>
        </w:tc>
      </w:tr>
      <w:tr w:rsidR="001E4F2A" w14:paraId="12CFE8B4" w14:textId="77777777">
        <w:trPr>
          <w:jc w:val="center"/>
        </w:trPr>
        <w:tc>
          <w:tcPr>
            <w:tcW w:w="4320" w:type="dxa"/>
          </w:tcPr>
          <w:p w14:paraId="111AD974" w14:textId="77777777" w:rsidR="001E4F2A" w:rsidRDefault="00000000">
            <w:r>
              <w:t>Document Date</w:t>
            </w:r>
          </w:p>
        </w:tc>
        <w:tc>
          <w:tcPr>
            <w:tcW w:w="4320" w:type="dxa"/>
          </w:tcPr>
          <w:p w14:paraId="4E14E632" w14:textId="77777777" w:rsidR="001E4F2A" w:rsidRDefault="00000000">
            <w:r>
              <w:t>27-Jul-2026</w:t>
            </w:r>
          </w:p>
        </w:tc>
      </w:tr>
      <w:tr w:rsidR="001E4F2A" w14:paraId="357BC8EC" w14:textId="77777777">
        <w:trPr>
          <w:jc w:val="center"/>
        </w:trPr>
        <w:tc>
          <w:tcPr>
            <w:tcW w:w="4320" w:type="dxa"/>
          </w:tcPr>
          <w:p w14:paraId="4D1F0161" w14:textId="77777777" w:rsidR="001E4F2A" w:rsidRDefault="00000000">
            <w:r>
              <w:t>Owner</w:t>
            </w:r>
          </w:p>
        </w:tc>
        <w:tc>
          <w:tcPr>
            <w:tcW w:w="4320" w:type="dxa"/>
          </w:tcPr>
          <w:p w14:paraId="3984C4B9" w14:textId="77777777" w:rsidR="001E4F2A" w:rsidRDefault="00000000">
            <w:r>
              <w:t>Clinical Operations</w:t>
            </w:r>
          </w:p>
        </w:tc>
      </w:tr>
    </w:tbl>
    <w:p w14:paraId="68D7C5CC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1. Purpose</w:t>
      </w:r>
    </w:p>
    <w:p w14:paraId="38CC0890" w14:textId="77777777" w:rsidR="001E4F2A" w:rsidRDefault="00000000">
      <w:r>
        <w:t>This Trial Management Plan (TMP) describes the operational framework for planning, conducting, overseeing, and closing the fictional IMM-2026-001 clinical trial. It defines key responsibilities, communication pathways, milestones, oversight activities, and escalation principles.</w:t>
      </w:r>
    </w:p>
    <w:p w14:paraId="067153E8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2. Study Overview</w:t>
      </w:r>
    </w:p>
    <w:p w14:paraId="44ACABB8" w14:textId="77777777" w:rsidR="001E4F2A" w:rsidRDefault="00000000">
      <w:r>
        <w:t>IMM-2026-001 is a fictional Phase II interventional study evaluating IMM-101 in adults with moderate-to-severe atopic dermatitis. The study uses a randomized, double-blind, placebo-controlled design and is planned for Türkiye, Germany, and Spain.</w:t>
      </w:r>
    </w:p>
    <w:p w14:paraId="2F4493C7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3. Study Governance</w:t>
      </w:r>
    </w:p>
    <w:p w14:paraId="74E5FC47" w14:textId="77777777" w:rsidR="001E4F2A" w:rsidRDefault="00000000">
      <w:r>
        <w:t>Clinical Operations will provide overall operational coordination. The Clinical Trial Manager will coordinate trial activities and maintain oversight of milestones, risks, vendors, and cross-</w:t>
      </w:r>
      <w:r>
        <w:lastRenderedPageBreak/>
        <w:t>functional communication. Functional leads remain accountable for activities within their areas.</w:t>
      </w:r>
    </w:p>
    <w:p w14:paraId="360C1878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4. Roles and Responsibilities</w:t>
      </w:r>
    </w:p>
    <w:p w14:paraId="091383FF" w14:textId="77777777" w:rsidR="001E4F2A" w:rsidRDefault="00000000">
      <w:r>
        <w:t>Key functions include Clinical Operations, Clinical Trial Management, Clinical Research Associates, Regulatory Affairs, Pharmacovigilance/Safety, Data Management, Biostatistics, Medical Monitoring, Quality Assurance, and Document Management.</w:t>
      </w:r>
    </w:p>
    <w:p w14:paraId="4CBB7D4A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5. Trial Milestones</w:t>
      </w:r>
    </w:p>
    <w:p w14:paraId="4FC26DCD" w14:textId="77777777" w:rsidR="001E4F2A" w:rsidRDefault="00000000">
      <w:r>
        <w:t>Major milestones include study start-up, country and site feasibility, regulatory and ethics submissions, site activation, first patient first visit, recruitment, last patient last visit, database lock, study close-out, and TMF reconciliation.</w:t>
      </w:r>
    </w:p>
    <w:p w14:paraId="70FB3D38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6. Site Management</w:t>
      </w:r>
    </w:p>
    <w:p w14:paraId="71686ED3" w14:textId="77777777" w:rsidR="001E4F2A" w:rsidRDefault="00000000">
      <w:r>
        <w:t>Site activities include feasibility, qualification, selection, initiation, routine monitoring, issue escalation, and close-out. Site-level documentation will be collected and filed to applicable TMF artifacts.</w:t>
      </w:r>
    </w:p>
    <w:p w14:paraId="4E707AA1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7. Communication Plan</w:t>
      </w:r>
    </w:p>
    <w:p w14:paraId="4C1D5492" w14:textId="77777777" w:rsidR="001E4F2A" w:rsidRDefault="00000000">
      <w:r>
        <w:t>Routine communication will use scheduled study team meetings, action trackers, email communication, and documented decision records where appropriate. Critical issues will be escalated to the responsible study lead.</w:t>
      </w:r>
    </w:p>
    <w:p w14:paraId="1C4235F7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8. Risk and Issue Management</w:t>
      </w:r>
    </w:p>
    <w:p w14:paraId="331CFECD" w14:textId="77777777" w:rsidR="001E4F2A" w:rsidRDefault="00000000">
      <w:r>
        <w:t>Operational risks and issues will be identified, assessed, documented, assigned to owners, and tracked to resolution. Significant risks may require escalation, mitigation, or preventive actions.</w:t>
      </w:r>
    </w:p>
    <w:p w14:paraId="7A67CF8B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9. Vendor and Third-Party Oversight</w:t>
      </w:r>
    </w:p>
    <w:p w14:paraId="7B91F5DD" w14:textId="77777777" w:rsidR="001E4F2A" w:rsidRDefault="00000000">
      <w:r>
        <w:t>Where third parties support study activities, responsibilities, deliverables, timelines, and oversight expectations will be documented. Vendor performance and relevant records will be monitored.</w:t>
      </w:r>
    </w:p>
    <w:p w14:paraId="29920E8E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10. Monitoring Oversight</w:t>
      </w:r>
    </w:p>
    <w:p w14:paraId="63452D62" w14:textId="77777777" w:rsidR="001E4F2A" w:rsidRDefault="00000000">
      <w:r>
        <w:t>Monitoring activities will follow the applicable monitoring strategy and plan. Monitoring findings, follow-up actions, and significant issues will be documented and escalated according to study procedures.</w:t>
      </w:r>
    </w:p>
    <w:p w14:paraId="6FEAF399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lastRenderedPageBreak/>
        <w:t>11. Safety Oversight</w:t>
      </w:r>
    </w:p>
    <w:p w14:paraId="23901D1C" w14:textId="77777777" w:rsidR="001E4F2A" w:rsidRDefault="00000000">
      <w:r>
        <w:t>Safety information will be managed through the study's pharmacovigilance and medical safety processes. Safety-related records will be maintained in applicable TMF locations.</w:t>
      </w:r>
    </w:p>
    <w:p w14:paraId="6AB97DA2" w14:textId="77777777" w:rsidR="001E4F2A" w:rsidRPr="00F1577B" w:rsidRDefault="00000000">
      <w:pPr>
        <w:pStyle w:val="Heading1"/>
        <w:rPr>
          <w:color w:val="000000" w:themeColor="text1"/>
        </w:rPr>
      </w:pPr>
      <w:r w:rsidRPr="00F1577B">
        <w:rPr>
          <w:color w:val="000000" w:themeColor="text1"/>
        </w:rPr>
        <w:t>12. Data Management and Statistics</w:t>
      </w:r>
    </w:p>
    <w:p w14:paraId="69158E1C" w14:textId="77777777" w:rsidR="001E4F2A" w:rsidRDefault="00000000">
      <w:r>
        <w:t>Data Management and Biostatistics will manage data-related activities, data quality, statistical planning, and analysis according to the study protocol and applicable plans.</w:t>
      </w:r>
    </w:p>
    <w:p w14:paraId="7AF9B557" w14:textId="77777777" w:rsidR="001E4F2A" w:rsidRPr="002274B2" w:rsidRDefault="00000000">
      <w:pPr>
        <w:pStyle w:val="Heading1"/>
        <w:rPr>
          <w:color w:val="000000" w:themeColor="text1"/>
        </w:rPr>
      </w:pPr>
      <w:r w:rsidRPr="002274B2">
        <w:rPr>
          <w:color w:val="000000" w:themeColor="text1"/>
        </w:rPr>
        <w:t>13. Quality Management</w:t>
      </w:r>
    </w:p>
    <w:p w14:paraId="58AEBD65" w14:textId="77777777" w:rsidR="001E4F2A" w:rsidRDefault="00000000">
      <w:r>
        <w:t>The study will use quality and risk-based oversight principles. Deviations, significant findings, corrective actions, and preventive actions will be managed through applicable quality processes.</w:t>
      </w:r>
    </w:p>
    <w:p w14:paraId="42A4B005" w14:textId="77777777" w:rsidR="001E4F2A" w:rsidRPr="002274B2" w:rsidRDefault="00000000">
      <w:pPr>
        <w:pStyle w:val="Heading1"/>
        <w:rPr>
          <w:color w:val="000000" w:themeColor="text1"/>
        </w:rPr>
      </w:pPr>
      <w:r w:rsidRPr="002274B2">
        <w:rPr>
          <w:color w:val="000000" w:themeColor="text1"/>
        </w:rPr>
        <w:t>14. TMF Management</w:t>
      </w:r>
    </w:p>
    <w:p w14:paraId="430191F9" w14:textId="77777777" w:rsidR="001E4F2A" w:rsidRDefault="00000000">
      <w:r>
        <w:t>Trial records will be filed to the appropriate TMF artifact with required metadata. Clinical Operations and Document Management will support completeness, quality, timeliness, and inspection readiness.</w:t>
      </w:r>
    </w:p>
    <w:p w14:paraId="2E49D559" w14:textId="77777777" w:rsidR="001E4F2A" w:rsidRPr="002274B2" w:rsidRDefault="00000000">
      <w:pPr>
        <w:pStyle w:val="Heading1"/>
        <w:rPr>
          <w:color w:val="000000" w:themeColor="text1"/>
        </w:rPr>
      </w:pPr>
      <w:r w:rsidRPr="002274B2">
        <w:rPr>
          <w:color w:val="000000" w:themeColor="text1"/>
        </w:rPr>
        <w:t>15. Change Control</w:t>
      </w:r>
    </w:p>
    <w:p w14:paraId="618A93A4" w14:textId="77777777" w:rsidR="001E4F2A" w:rsidRDefault="00000000">
      <w:r>
        <w:t>Material changes affecting study operations, timelines, responsibilities, or risk controls will be documented and assessed. Approved changes will be communicated to affected functions and reflected in relevant controlled documents.</w:t>
      </w:r>
    </w:p>
    <w:p w14:paraId="1C4EF264" w14:textId="77777777" w:rsidR="001E4F2A" w:rsidRPr="002274B2" w:rsidRDefault="00000000">
      <w:pPr>
        <w:pStyle w:val="Heading1"/>
        <w:rPr>
          <w:color w:val="000000" w:themeColor="text1"/>
        </w:rPr>
      </w:pPr>
      <w:r w:rsidRPr="002274B2">
        <w:rPr>
          <w:color w:val="000000" w:themeColor="text1"/>
        </w:rPr>
        <w:t>16. Study Close-Out</w:t>
      </w:r>
    </w:p>
    <w:p w14:paraId="1BB5AAD1" w14:textId="77777777" w:rsidR="001E4F2A" w:rsidRDefault="00000000">
      <w:r>
        <w:t>At study close-out, outstanding activities and documents will be reconciled, site close-out will be completed as applicable, and TMF completeness will be assessed before archival.</w:t>
      </w:r>
    </w:p>
    <w:p w14:paraId="2366C827" w14:textId="77777777" w:rsidR="001E4F2A" w:rsidRPr="002274B2" w:rsidRDefault="00000000">
      <w:pPr>
        <w:pStyle w:val="Heading1"/>
        <w:rPr>
          <w:color w:val="000000" w:themeColor="text1"/>
        </w:rPr>
      </w:pPr>
      <w:r w:rsidRPr="002274B2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E4F2A" w14:paraId="20F2D06D" w14:textId="77777777">
        <w:tc>
          <w:tcPr>
            <w:tcW w:w="2160" w:type="dxa"/>
          </w:tcPr>
          <w:p w14:paraId="39194ACC" w14:textId="77777777" w:rsidR="001E4F2A" w:rsidRDefault="00000000">
            <w:r>
              <w:t>Version</w:t>
            </w:r>
          </w:p>
        </w:tc>
        <w:tc>
          <w:tcPr>
            <w:tcW w:w="2160" w:type="dxa"/>
          </w:tcPr>
          <w:p w14:paraId="1A574AA7" w14:textId="77777777" w:rsidR="001E4F2A" w:rsidRDefault="00000000">
            <w:r>
              <w:t>Date</w:t>
            </w:r>
          </w:p>
        </w:tc>
        <w:tc>
          <w:tcPr>
            <w:tcW w:w="2160" w:type="dxa"/>
          </w:tcPr>
          <w:p w14:paraId="21D7BAA4" w14:textId="77777777" w:rsidR="001E4F2A" w:rsidRDefault="00000000">
            <w:r>
              <w:t>Owner</w:t>
            </w:r>
          </w:p>
        </w:tc>
        <w:tc>
          <w:tcPr>
            <w:tcW w:w="2160" w:type="dxa"/>
          </w:tcPr>
          <w:p w14:paraId="6C1FF47A" w14:textId="77777777" w:rsidR="001E4F2A" w:rsidRDefault="00000000">
            <w:r>
              <w:t>Description</w:t>
            </w:r>
          </w:p>
        </w:tc>
      </w:tr>
      <w:tr w:rsidR="001E4F2A" w14:paraId="7F3B5324" w14:textId="77777777">
        <w:tc>
          <w:tcPr>
            <w:tcW w:w="2160" w:type="dxa"/>
          </w:tcPr>
          <w:p w14:paraId="1E32B2DA" w14:textId="77777777" w:rsidR="001E4F2A" w:rsidRDefault="00000000">
            <w:r>
              <w:t>1.0</w:t>
            </w:r>
          </w:p>
        </w:tc>
        <w:tc>
          <w:tcPr>
            <w:tcW w:w="2160" w:type="dxa"/>
          </w:tcPr>
          <w:p w14:paraId="1A041317" w14:textId="77777777" w:rsidR="001E4F2A" w:rsidRDefault="00000000">
            <w:r>
              <w:t>27-Jul-2026</w:t>
            </w:r>
          </w:p>
        </w:tc>
        <w:tc>
          <w:tcPr>
            <w:tcW w:w="2160" w:type="dxa"/>
          </w:tcPr>
          <w:p w14:paraId="295D0E2E" w14:textId="77777777" w:rsidR="001E4F2A" w:rsidRDefault="00000000">
            <w:r>
              <w:t>Clinical Operations</w:t>
            </w:r>
          </w:p>
        </w:tc>
        <w:tc>
          <w:tcPr>
            <w:tcW w:w="2160" w:type="dxa"/>
          </w:tcPr>
          <w:p w14:paraId="71F5D6B8" w14:textId="77777777" w:rsidR="001E4F2A" w:rsidRDefault="00000000">
            <w:r>
              <w:t>Initial draft for mock eTMF training project.</w:t>
            </w:r>
          </w:p>
        </w:tc>
      </w:tr>
    </w:tbl>
    <w:p w14:paraId="21F1877D" w14:textId="77777777" w:rsidR="001E4F2A" w:rsidRDefault="00000000">
      <w:r>
        <w:rPr>
          <w:b/>
        </w:rPr>
        <w:t xml:space="preserve">TRAINING USE ONLY — </w:t>
      </w:r>
      <w:r>
        <w:t>This document is fictional and is not a record from a real clinical trial.</w:t>
      </w:r>
    </w:p>
    <w:sectPr w:rsidR="001E4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212487">
    <w:abstractNumId w:val="8"/>
  </w:num>
  <w:num w:numId="2" w16cid:durableId="442303914">
    <w:abstractNumId w:val="6"/>
  </w:num>
  <w:num w:numId="3" w16cid:durableId="1215241294">
    <w:abstractNumId w:val="5"/>
  </w:num>
  <w:num w:numId="4" w16cid:durableId="895749116">
    <w:abstractNumId w:val="4"/>
  </w:num>
  <w:num w:numId="5" w16cid:durableId="1522665997">
    <w:abstractNumId w:val="7"/>
  </w:num>
  <w:num w:numId="6" w16cid:durableId="918103250">
    <w:abstractNumId w:val="3"/>
  </w:num>
  <w:num w:numId="7" w16cid:durableId="916671730">
    <w:abstractNumId w:val="2"/>
  </w:num>
  <w:num w:numId="8" w16cid:durableId="1626891161">
    <w:abstractNumId w:val="1"/>
  </w:num>
  <w:num w:numId="9" w16cid:durableId="5094186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F2A"/>
    <w:rsid w:val="002274B2"/>
    <w:rsid w:val="0029639D"/>
    <w:rsid w:val="00326F90"/>
    <w:rsid w:val="005F0926"/>
    <w:rsid w:val="00673F6E"/>
    <w:rsid w:val="00AA1D8D"/>
    <w:rsid w:val="00B47730"/>
    <w:rsid w:val="00CB0664"/>
    <w:rsid w:val="00F157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02744D"/>
  <w14:defaultImageDpi w14:val="300"/>
  <w15:docId w15:val="{33D3D582-730A-5B4F-A541-F5D2EFBA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3</cp:revision>
  <dcterms:created xsi:type="dcterms:W3CDTF">2026-08-16T18:13:00Z</dcterms:created>
  <dcterms:modified xsi:type="dcterms:W3CDTF">2026-08-16T18:15:00Z</dcterms:modified>
  <cp:category/>
</cp:coreProperties>
</file>