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F8FFB3" w14:textId="77777777" w:rsidR="002D3772" w:rsidRPr="003550AB" w:rsidRDefault="00000000">
      <w:pPr>
        <w:jc w:val="center"/>
        <w:rPr>
          <w:color w:val="000000" w:themeColor="text1"/>
        </w:rPr>
      </w:pPr>
      <w:r w:rsidRPr="003550AB">
        <w:rPr>
          <w:b/>
          <w:color w:val="000000" w:themeColor="text1"/>
          <w:sz w:val="36"/>
        </w:rPr>
        <w:t>QUALITY PLAN</w:t>
      </w:r>
    </w:p>
    <w:p w14:paraId="2E764920" w14:textId="77777777" w:rsidR="002D3772" w:rsidRPr="003550AB" w:rsidRDefault="00000000">
      <w:pPr>
        <w:jc w:val="center"/>
        <w:rPr>
          <w:color w:val="000000" w:themeColor="text1"/>
        </w:rPr>
      </w:pPr>
      <w:r w:rsidRPr="003550AB">
        <w:rPr>
          <w:b/>
          <w:color w:val="000000" w:themeColor="text1"/>
          <w:sz w:val="26"/>
        </w:rPr>
        <w:t>IMM-2026-001</w:t>
      </w:r>
    </w:p>
    <w:p w14:paraId="0AE014F7" w14:textId="77777777" w:rsidR="002D3772" w:rsidRPr="003550AB" w:rsidRDefault="00000000">
      <w:pPr>
        <w:jc w:val="center"/>
        <w:rPr>
          <w:color w:val="000000" w:themeColor="text1"/>
        </w:rPr>
      </w:pPr>
      <w:r w:rsidRPr="003550AB">
        <w:rPr>
          <w:i/>
          <w:color w:val="000000" w:themeColor="text1"/>
        </w:rPr>
        <w:t>Version 1.0 — DRAFT</w:t>
      </w:r>
    </w:p>
    <w:p w14:paraId="5190EE05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2D3772" w:rsidRPr="003550AB" w14:paraId="767B67F2" w14:textId="77777777">
        <w:trPr>
          <w:jc w:val="center"/>
        </w:trPr>
        <w:tc>
          <w:tcPr>
            <w:tcW w:w="4320" w:type="dxa"/>
          </w:tcPr>
          <w:p w14:paraId="400808B0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F421DBC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Quality Plan</w:t>
            </w:r>
          </w:p>
        </w:tc>
      </w:tr>
      <w:tr w:rsidR="002D3772" w:rsidRPr="003550AB" w14:paraId="0F5E6530" w14:textId="77777777">
        <w:trPr>
          <w:jc w:val="center"/>
        </w:trPr>
        <w:tc>
          <w:tcPr>
            <w:tcW w:w="4320" w:type="dxa"/>
          </w:tcPr>
          <w:p w14:paraId="774FA705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5C7719D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DOC-0003</w:t>
            </w:r>
          </w:p>
        </w:tc>
      </w:tr>
      <w:tr w:rsidR="002D3772" w:rsidRPr="003550AB" w14:paraId="79E80973" w14:textId="77777777">
        <w:trPr>
          <w:jc w:val="center"/>
        </w:trPr>
        <w:tc>
          <w:tcPr>
            <w:tcW w:w="4320" w:type="dxa"/>
          </w:tcPr>
          <w:p w14:paraId="335C8B0D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04F3670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01.01.03</w:t>
            </w:r>
          </w:p>
        </w:tc>
      </w:tr>
      <w:tr w:rsidR="002D3772" w:rsidRPr="003550AB" w14:paraId="376FB881" w14:textId="77777777">
        <w:trPr>
          <w:jc w:val="center"/>
        </w:trPr>
        <w:tc>
          <w:tcPr>
            <w:tcW w:w="4320" w:type="dxa"/>
          </w:tcPr>
          <w:p w14:paraId="55BF8BC5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061EA8C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IMM-2026-001</w:t>
            </w:r>
          </w:p>
        </w:tc>
      </w:tr>
      <w:tr w:rsidR="002D3772" w:rsidRPr="003550AB" w14:paraId="737F0361" w14:textId="77777777">
        <w:trPr>
          <w:jc w:val="center"/>
        </w:trPr>
        <w:tc>
          <w:tcPr>
            <w:tcW w:w="4320" w:type="dxa"/>
          </w:tcPr>
          <w:p w14:paraId="5405F6D1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3DA947C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Fictional Pharma Ltd.</w:t>
            </w:r>
          </w:p>
        </w:tc>
      </w:tr>
      <w:tr w:rsidR="002D3772" w:rsidRPr="003550AB" w14:paraId="6184F17A" w14:textId="77777777">
        <w:trPr>
          <w:jc w:val="center"/>
        </w:trPr>
        <w:tc>
          <w:tcPr>
            <w:tcW w:w="4320" w:type="dxa"/>
          </w:tcPr>
          <w:p w14:paraId="6AB19221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93FD96D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Immunology / Allergy</w:t>
            </w:r>
          </w:p>
        </w:tc>
      </w:tr>
      <w:tr w:rsidR="002D3772" w:rsidRPr="003550AB" w14:paraId="4F228E7D" w14:textId="77777777">
        <w:trPr>
          <w:jc w:val="center"/>
        </w:trPr>
        <w:tc>
          <w:tcPr>
            <w:tcW w:w="4320" w:type="dxa"/>
          </w:tcPr>
          <w:p w14:paraId="4430CF14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F85127A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Moderate-to-Severe Atopic Dermatitis</w:t>
            </w:r>
          </w:p>
        </w:tc>
      </w:tr>
      <w:tr w:rsidR="002D3772" w:rsidRPr="003550AB" w14:paraId="3019902F" w14:textId="77777777">
        <w:trPr>
          <w:jc w:val="center"/>
        </w:trPr>
        <w:tc>
          <w:tcPr>
            <w:tcW w:w="4320" w:type="dxa"/>
          </w:tcPr>
          <w:p w14:paraId="7BC125C7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BD3315D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Phase II</w:t>
            </w:r>
          </w:p>
        </w:tc>
      </w:tr>
      <w:tr w:rsidR="002D3772" w:rsidRPr="003550AB" w14:paraId="4E973B49" w14:textId="77777777">
        <w:trPr>
          <w:jc w:val="center"/>
        </w:trPr>
        <w:tc>
          <w:tcPr>
            <w:tcW w:w="4320" w:type="dxa"/>
          </w:tcPr>
          <w:p w14:paraId="5FBD14EB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3D85DE6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Randomized, Double-Blind, Placebo-Controlled</w:t>
            </w:r>
          </w:p>
        </w:tc>
      </w:tr>
      <w:tr w:rsidR="002D3772" w:rsidRPr="003550AB" w14:paraId="10DC3097" w14:textId="77777777">
        <w:trPr>
          <w:jc w:val="center"/>
        </w:trPr>
        <w:tc>
          <w:tcPr>
            <w:tcW w:w="4320" w:type="dxa"/>
          </w:tcPr>
          <w:p w14:paraId="1ACA4D97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E0F6D2D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IMM-101</w:t>
            </w:r>
          </w:p>
        </w:tc>
      </w:tr>
      <w:tr w:rsidR="002D3772" w:rsidRPr="003550AB" w14:paraId="61152FEA" w14:textId="77777777">
        <w:trPr>
          <w:jc w:val="center"/>
        </w:trPr>
        <w:tc>
          <w:tcPr>
            <w:tcW w:w="4320" w:type="dxa"/>
          </w:tcPr>
          <w:p w14:paraId="6A40D124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3A44C6F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Trial</w:t>
            </w:r>
          </w:p>
        </w:tc>
      </w:tr>
      <w:tr w:rsidR="002D3772" w:rsidRPr="003550AB" w14:paraId="2E94D4B3" w14:textId="77777777">
        <w:trPr>
          <w:jc w:val="center"/>
        </w:trPr>
        <w:tc>
          <w:tcPr>
            <w:tcW w:w="4320" w:type="dxa"/>
          </w:tcPr>
          <w:p w14:paraId="04DC0BF0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8C2A732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Global</w:t>
            </w:r>
          </w:p>
        </w:tc>
      </w:tr>
      <w:tr w:rsidR="002D3772" w:rsidRPr="003550AB" w14:paraId="39087550" w14:textId="77777777">
        <w:trPr>
          <w:jc w:val="center"/>
        </w:trPr>
        <w:tc>
          <w:tcPr>
            <w:tcW w:w="4320" w:type="dxa"/>
          </w:tcPr>
          <w:p w14:paraId="1EB09EF6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8CF053A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N/A</w:t>
            </w:r>
          </w:p>
        </w:tc>
      </w:tr>
      <w:tr w:rsidR="002D3772" w:rsidRPr="003550AB" w14:paraId="063E43E5" w14:textId="77777777">
        <w:trPr>
          <w:jc w:val="center"/>
        </w:trPr>
        <w:tc>
          <w:tcPr>
            <w:tcW w:w="4320" w:type="dxa"/>
          </w:tcPr>
          <w:p w14:paraId="14893F7A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054F4BF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1.0</w:t>
            </w:r>
          </w:p>
        </w:tc>
      </w:tr>
      <w:tr w:rsidR="002D3772" w:rsidRPr="003550AB" w14:paraId="5F1F3040" w14:textId="77777777">
        <w:trPr>
          <w:jc w:val="center"/>
        </w:trPr>
        <w:tc>
          <w:tcPr>
            <w:tcW w:w="4320" w:type="dxa"/>
          </w:tcPr>
          <w:p w14:paraId="1DBF4916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4E63A0DD" w14:textId="292D5BC0" w:rsidR="002D3772" w:rsidRPr="003550AB" w:rsidRDefault="004F66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QC Passed</w:t>
            </w:r>
          </w:p>
        </w:tc>
      </w:tr>
      <w:tr w:rsidR="002D3772" w:rsidRPr="003550AB" w14:paraId="04FE9585" w14:textId="77777777">
        <w:trPr>
          <w:jc w:val="center"/>
        </w:trPr>
        <w:tc>
          <w:tcPr>
            <w:tcW w:w="4320" w:type="dxa"/>
          </w:tcPr>
          <w:p w14:paraId="4A8AEBA7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E7F4ECB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01-Aug-2026</w:t>
            </w:r>
          </w:p>
        </w:tc>
      </w:tr>
      <w:tr w:rsidR="002D3772" w:rsidRPr="003550AB" w14:paraId="1230151C" w14:textId="77777777">
        <w:trPr>
          <w:jc w:val="center"/>
        </w:trPr>
        <w:tc>
          <w:tcPr>
            <w:tcW w:w="4320" w:type="dxa"/>
          </w:tcPr>
          <w:p w14:paraId="35BAC5A4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93CF281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Quality Assurance</w:t>
            </w:r>
          </w:p>
        </w:tc>
      </w:tr>
    </w:tbl>
    <w:p w14:paraId="59A68945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1. Purpose</w:t>
      </w:r>
    </w:p>
    <w:p w14:paraId="64ECFB73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This Quality Plan defines the quality management framework for the fictional IMM-2026-001 clinical trial. It describes planned quality controls, risk-based oversight, issue management, quality review activities, and escalation principles.</w:t>
      </w:r>
    </w:p>
    <w:p w14:paraId="72774D61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2. Quality Objectives</w:t>
      </w:r>
    </w:p>
    <w:p w14:paraId="65E083F0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The quality objectives are to protect trial participants, maintain the reliability and integrity of clinical trial data, support compliance with the protocol and applicable requirements, and maintain an inspection-ready Trial Master File.</w:t>
      </w:r>
    </w:p>
    <w:p w14:paraId="71327835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3. Quality Risk Management</w:t>
      </w:r>
    </w:p>
    <w:p w14:paraId="383A8A48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Quality risks will be identified, assessed, prioritized, monitored, and mitigated using a risk-based approach. Risk assessments will consider participant safety, data integrity, critical trial processes, and operational complexity.</w:t>
      </w:r>
    </w:p>
    <w:p w14:paraId="38D7BDC1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lastRenderedPageBreak/>
        <w:t>4. Critical Processes and Data</w:t>
      </w:r>
    </w:p>
    <w:p w14:paraId="47976789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Critical processes and data will be identified during study planning. Examples include informed consent, investigational product accountability, safety reporting, eligibility assessment, endpoint data, and key data-management activities.</w:t>
      </w:r>
    </w:p>
    <w:p w14:paraId="166BC51E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5. Quality Controls</w:t>
      </w:r>
    </w:p>
    <w:p w14:paraId="3F75DB47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Quality controls may include document review, centralized data review, monitoring activities, TMF quality checks, reconciliation activities, training verification, issue trending, and periodic quality reviews.</w:t>
      </w:r>
    </w:p>
    <w:p w14:paraId="276A024B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6. Monitoring and Oversight</w:t>
      </w:r>
    </w:p>
    <w:p w14:paraId="28E6C65F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Monitoring and oversight activities will be performed according to the applicable monitoring strategy and study procedures. Significant findings will be documented, assessed, assigned, and followed through resolution.</w:t>
      </w:r>
    </w:p>
    <w:p w14:paraId="3854FD29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7. Deviations and Issues</w:t>
      </w:r>
    </w:p>
    <w:p w14:paraId="2F80CEC9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Protocol deviations, process issues, quality findings, and other significant events will be documented and evaluated for impact. Appropriate corrective and preventive actions may be implemented where required.</w:t>
      </w:r>
    </w:p>
    <w:p w14:paraId="7B89B408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8. Corrective and Preventive Actions</w:t>
      </w:r>
    </w:p>
    <w:p w14:paraId="6CCC8DE4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Corrective and preventive actions will address identified root causes and reduce the likelihood of recurrence. Actions will have assigned owners and target dates and will be tracked to closure.</w:t>
      </w:r>
    </w:p>
    <w:p w14:paraId="7E6C4EBF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9. Training and Compliance</w:t>
      </w:r>
    </w:p>
    <w:p w14:paraId="1C15FD62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Personnel performing study-related activities will receive applicable training before performing assigned activities. Training records will be maintained in the appropriate TMF location.</w:t>
      </w:r>
    </w:p>
    <w:p w14:paraId="12A66628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10. Vendor Quality Oversight</w:t>
      </w:r>
    </w:p>
    <w:p w14:paraId="14A9BFEF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Third parties supporting critical study activities will be subject to appropriate qualification, oversight, and performance monitoring based on their role and risk.</w:t>
      </w:r>
    </w:p>
    <w:p w14:paraId="4F34FE87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11. TMF Quality</w:t>
      </w:r>
    </w:p>
    <w:p w14:paraId="3F155E8E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TMF records will be reviewed for completeness, accuracy, legibility, appropriate metadata, timeliness, and correct filing. Identified issues will be tracked to resolution.</w:t>
      </w:r>
    </w:p>
    <w:p w14:paraId="31D93B70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lastRenderedPageBreak/>
        <w:t>12. Escalation</w:t>
      </w:r>
    </w:p>
    <w:p w14:paraId="75CA06F5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Quality issues with potential impact on participant safety, data integrity, regulatory compliance, or critical trial milestones will be escalated to the appropriate study leadership and quality function.</w:t>
      </w:r>
    </w:p>
    <w:p w14:paraId="6279EBF3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13. Inspection Readiness</w:t>
      </w:r>
    </w:p>
    <w:p w14:paraId="7A5DA85C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Quality activities will support ongoing inspection readiness. Relevant records, decisions, findings, actions, and evidence of oversight will be maintained and traceable.</w:t>
      </w:r>
    </w:p>
    <w:p w14:paraId="7610BE84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14. Quality Review Frequency</w:t>
      </w:r>
    </w:p>
    <w:p w14:paraId="7B69B9C6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Quality review activities will be performed at intervals appropriate to study risk and operational needs. Additional reviews may be initiated following significant findings, major changes, or emerging risks.</w:t>
      </w:r>
    </w:p>
    <w:p w14:paraId="2208C975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15. Quality Plan Maintenance</w:t>
      </w:r>
    </w:p>
    <w:p w14:paraId="46254FF7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This plan will be reviewed when significant changes to study design, risk profile, responsibilities, or quality processes occur. Approved revisions will be version-controlled and maintained in the TMF.</w:t>
      </w:r>
    </w:p>
    <w:p w14:paraId="207994FE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16. Close-Out</w:t>
      </w:r>
    </w:p>
    <w:p w14:paraId="73559B14" w14:textId="77777777" w:rsidR="002D3772" w:rsidRPr="003550AB" w:rsidRDefault="00000000">
      <w:pPr>
        <w:rPr>
          <w:color w:val="000000" w:themeColor="text1"/>
        </w:rPr>
      </w:pPr>
      <w:r w:rsidRPr="003550AB">
        <w:rPr>
          <w:color w:val="000000" w:themeColor="text1"/>
        </w:rPr>
        <w:t>At study close-out, open quality issues and actions will be reconciled, relevant records will be reviewed for completeness, and quality oversight documentation will be finalized for archival.</w:t>
      </w:r>
    </w:p>
    <w:p w14:paraId="362B410F" w14:textId="77777777" w:rsidR="002D3772" w:rsidRPr="003550AB" w:rsidRDefault="00000000">
      <w:pPr>
        <w:pStyle w:val="Heading1"/>
        <w:rPr>
          <w:color w:val="000000" w:themeColor="text1"/>
        </w:rPr>
      </w:pPr>
      <w:r w:rsidRPr="003550A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D3772" w:rsidRPr="003550AB" w14:paraId="7F22F1D8" w14:textId="77777777">
        <w:tc>
          <w:tcPr>
            <w:tcW w:w="2160" w:type="dxa"/>
          </w:tcPr>
          <w:p w14:paraId="346B9A6A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F0FB6AB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8DF6FA6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ECB0F9D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Description</w:t>
            </w:r>
          </w:p>
        </w:tc>
      </w:tr>
      <w:tr w:rsidR="002D3772" w:rsidRPr="003550AB" w14:paraId="1E6EB76C" w14:textId="77777777">
        <w:tc>
          <w:tcPr>
            <w:tcW w:w="2160" w:type="dxa"/>
          </w:tcPr>
          <w:p w14:paraId="7AA4D663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0C19BF6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01-Aug-2026</w:t>
            </w:r>
          </w:p>
        </w:tc>
        <w:tc>
          <w:tcPr>
            <w:tcW w:w="2160" w:type="dxa"/>
          </w:tcPr>
          <w:p w14:paraId="3E88F9EB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Quality Assurance</w:t>
            </w:r>
          </w:p>
        </w:tc>
        <w:tc>
          <w:tcPr>
            <w:tcW w:w="2160" w:type="dxa"/>
          </w:tcPr>
          <w:p w14:paraId="27E88623" w14:textId="77777777" w:rsidR="002D3772" w:rsidRPr="003550AB" w:rsidRDefault="00000000">
            <w:pPr>
              <w:rPr>
                <w:color w:val="000000" w:themeColor="text1"/>
              </w:rPr>
            </w:pPr>
            <w:r w:rsidRPr="003550AB">
              <w:rPr>
                <w:color w:val="000000" w:themeColor="text1"/>
              </w:rPr>
              <w:t>Initial draft for mock eTMF training project.</w:t>
            </w:r>
          </w:p>
        </w:tc>
      </w:tr>
    </w:tbl>
    <w:p w14:paraId="187F6162" w14:textId="77777777" w:rsidR="002D3772" w:rsidRPr="003550AB" w:rsidRDefault="00000000">
      <w:pPr>
        <w:rPr>
          <w:color w:val="000000" w:themeColor="text1"/>
        </w:rPr>
      </w:pPr>
      <w:r w:rsidRPr="003550AB">
        <w:rPr>
          <w:b/>
          <w:color w:val="000000" w:themeColor="text1"/>
        </w:rPr>
        <w:t xml:space="preserve">TRAINING USE ONLY — </w:t>
      </w:r>
      <w:r w:rsidRPr="003550AB">
        <w:rPr>
          <w:color w:val="000000" w:themeColor="text1"/>
        </w:rPr>
        <w:t>This document is fictional and is not a record from a real clinical trial.</w:t>
      </w:r>
    </w:p>
    <w:sectPr w:rsidR="002D3772" w:rsidRPr="003550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622834">
    <w:abstractNumId w:val="8"/>
  </w:num>
  <w:num w:numId="2" w16cid:durableId="1655529979">
    <w:abstractNumId w:val="6"/>
  </w:num>
  <w:num w:numId="3" w16cid:durableId="1002129438">
    <w:abstractNumId w:val="5"/>
  </w:num>
  <w:num w:numId="4" w16cid:durableId="1004018156">
    <w:abstractNumId w:val="4"/>
  </w:num>
  <w:num w:numId="5" w16cid:durableId="602348256">
    <w:abstractNumId w:val="7"/>
  </w:num>
  <w:num w:numId="6" w16cid:durableId="1288466137">
    <w:abstractNumId w:val="3"/>
  </w:num>
  <w:num w:numId="7" w16cid:durableId="415439733">
    <w:abstractNumId w:val="2"/>
  </w:num>
  <w:num w:numId="8" w16cid:durableId="47148232">
    <w:abstractNumId w:val="1"/>
  </w:num>
  <w:num w:numId="9" w16cid:durableId="20758093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772"/>
    <w:rsid w:val="00326F90"/>
    <w:rsid w:val="003550AB"/>
    <w:rsid w:val="004F6617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EDD69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3</cp:revision>
  <dcterms:created xsi:type="dcterms:W3CDTF">2026-08-18T17:43:00Z</dcterms:created>
  <dcterms:modified xsi:type="dcterms:W3CDTF">2026-08-18T17:46:00Z</dcterms:modified>
  <cp:category/>
</cp:coreProperties>
</file>