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3D670C" w14:textId="77777777" w:rsidR="006E4390" w:rsidRPr="00E20829" w:rsidRDefault="00000000">
      <w:pPr>
        <w:jc w:val="center"/>
        <w:rPr>
          <w:color w:val="000000" w:themeColor="text1"/>
        </w:rPr>
      </w:pPr>
      <w:r w:rsidRPr="00E20829">
        <w:rPr>
          <w:b/>
          <w:color w:val="000000" w:themeColor="text1"/>
          <w:sz w:val="36"/>
        </w:rPr>
        <w:t>OPERATIONAL PROCEDURE MANUAL</w:t>
      </w:r>
    </w:p>
    <w:p w14:paraId="72A729C6" w14:textId="77777777" w:rsidR="006E4390" w:rsidRPr="00E20829" w:rsidRDefault="00000000">
      <w:pPr>
        <w:jc w:val="center"/>
        <w:rPr>
          <w:color w:val="000000" w:themeColor="text1"/>
        </w:rPr>
      </w:pPr>
      <w:r w:rsidRPr="00E20829">
        <w:rPr>
          <w:b/>
          <w:color w:val="000000" w:themeColor="text1"/>
          <w:sz w:val="26"/>
        </w:rPr>
        <w:t>IMM-2026-001</w:t>
      </w:r>
    </w:p>
    <w:p w14:paraId="11FA78DC" w14:textId="77777777" w:rsidR="006E4390" w:rsidRPr="00E20829" w:rsidRDefault="00000000">
      <w:pPr>
        <w:jc w:val="center"/>
        <w:rPr>
          <w:color w:val="000000" w:themeColor="text1"/>
        </w:rPr>
      </w:pPr>
      <w:r w:rsidRPr="00E20829">
        <w:rPr>
          <w:i/>
          <w:color w:val="000000" w:themeColor="text1"/>
        </w:rPr>
        <w:t>Version 1.0</w:t>
      </w:r>
    </w:p>
    <w:p w14:paraId="50FB4100" w14:textId="77777777" w:rsidR="006E4390" w:rsidRPr="00E20829" w:rsidRDefault="00000000">
      <w:pPr>
        <w:pStyle w:val="Heading1"/>
        <w:rPr>
          <w:color w:val="000000" w:themeColor="text1"/>
        </w:rPr>
      </w:pPr>
      <w:r w:rsidRPr="00E20829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6E4390" w:rsidRPr="00E20829" w14:paraId="2345361B" w14:textId="77777777">
        <w:trPr>
          <w:jc w:val="center"/>
        </w:trPr>
        <w:tc>
          <w:tcPr>
            <w:tcW w:w="4320" w:type="dxa"/>
          </w:tcPr>
          <w:p w14:paraId="51F975DD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6A2B8975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Operational Procedure Manual</w:t>
            </w:r>
          </w:p>
        </w:tc>
      </w:tr>
      <w:tr w:rsidR="006E4390" w:rsidRPr="00E20829" w14:paraId="24857844" w14:textId="77777777">
        <w:trPr>
          <w:jc w:val="center"/>
        </w:trPr>
        <w:tc>
          <w:tcPr>
            <w:tcW w:w="4320" w:type="dxa"/>
          </w:tcPr>
          <w:p w14:paraId="3139732A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403E56F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DOC-0005</w:t>
            </w:r>
          </w:p>
        </w:tc>
      </w:tr>
      <w:tr w:rsidR="006E4390" w:rsidRPr="00E20829" w14:paraId="153B3E45" w14:textId="77777777">
        <w:trPr>
          <w:jc w:val="center"/>
        </w:trPr>
        <w:tc>
          <w:tcPr>
            <w:tcW w:w="4320" w:type="dxa"/>
          </w:tcPr>
          <w:p w14:paraId="2F63913C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19C77E0B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01.01.05</w:t>
            </w:r>
          </w:p>
        </w:tc>
      </w:tr>
      <w:tr w:rsidR="006E4390" w:rsidRPr="00E20829" w14:paraId="592B244D" w14:textId="77777777">
        <w:trPr>
          <w:jc w:val="center"/>
        </w:trPr>
        <w:tc>
          <w:tcPr>
            <w:tcW w:w="4320" w:type="dxa"/>
          </w:tcPr>
          <w:p w14:paraId="1CD0A17A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ACF98F2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IMM-2026-001</w:t>
            </w:r>
          </w:p>
        </w:tc>
      </w:tr>
      <w:tr w:rsidR="006E4390" w:rsidRPr="00E20829" w14:paraId="2858EA8C" w14:textId="77777777">
        <w:trPr>
          <w:jc w:val="center"/>
        </w:trPr>
        <w:tc>
          <w:tcPr>
            <w:tcW w:w="4320" w:type="dxa"/>
          </w:tcPr>
          <w:p w14:paraId="671C7423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9A05E92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Fictional Pharma Ltd.</w:t>
            </w:r>
          </w:p>
        </w:tc>
      </w:tr>
      <w:tr w:rsidR="006E4390" w:rsidRPr="00E20829" w14:paraId="1E80D227" w14:textId="77777777">
        <w:trPr>
          <w:jc w:val="center"/>
        </w:trPr>
        <w:tc>
          <w:tcPr>
            <w:tcW w:w="4320" w:type="dxa"/>
          </w:tcPr>
          <w:p w14:paraId="762AB8B9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5FFD966E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Immunology / Allergy</w:t>
            </w:r>
          </w:p>
        </w:tc>
      </w:tr>
      <w:tr w:rsidR="006E4390" w:rsidRPr="00E20829" w14:paraId="7991A224" w14:textId="77777777">
        <w:trPr>
          <w:jc w:val="center"/>
        </w:trPr>
        <w:tc>
          <w:tcPr>
            <w:tcW w:w="4320" w:type="dxa"/>
          </w:tcPr>
          <w:p w14:paraId="4F0AF3FD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23F183C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Moderate-to-Severe Atopic Dermatitis</w:t>
            </w:r>
          </w:p>
        </w:tc>
      </w:tr>
      <w:tr w:rsidR="006E4390" w:rsidRPr="00E20829" w14:paraId="2439A3BD" w14:textId="77777777">
        <w:trPr>
          <w:jc w:val="center"/>
        </w:trPr>
        <w:tc>
          <w:tcPr>
            <w:tcW w:w="4320" w:type="dxa"/>
          </w:tcPr>
          <w:p w14:paraId="630631F1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7FB6D5EB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Phase II</w:t>
            </w:r>
          </w:p>
        </w:tc>
      </w:tr>
      <w:tr w:rsidR="006E4390" w:rsidRPr="00E20829" w14:paraId="1B13BCB0" w14:textId="77777777">
        <w:trPr>
          <w:jc w:val="center"/>
        </w:trPr>
        <w:tc>
          <w:tcPr>
            <w:tcW w:w="4320" w:type="dxa"/>
          </w:tcPr>
          <w:p w14:paraId="524B5DCE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05A8100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Randomized, Double-Blind, Placebo-Controlled</w:t>
            </w:r>
          </w:p>
        </w:tc>
      </w:tr>
      <w:tr w:rsidR="006E4390" w:rsidRPr="00E20829" w14:paraId="0CDD359E" w14:textId="77777777">
        <w:trPr>
          <w:jc w:val="center"/>
        </w:trPr>
        <w:tc>
          <w:tcPr>
            <w:tcW w:w="4320" w:type="dxa"/>
          </w:tcPr>
          <w:p w14:paraId="5F3A5DB0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5D291A27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IMM-101</w:t>
            </w:r>
          </w:p>
        </w:tc>
      </w:tr>
      <w:tr w:rsidR="006E4390" w:rsidRPr="00E20829" w14:paraId="27541F4B" w14:textId="77777777">
        <w:trPr>
          <w:jc w:val="center"/>
        </w:trPr>
        <w:tc>
          <w:tcPr>
            <w:tcW w:w="4320" w:type="dxa"/>
          </w:tcPr>
          <w:p w14:paraId="1D5EB402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552C80C0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Trial</w:t>
            </w:r>
          </w:p>
        </w:tc>
      </w:tr>
      <w:tr w:rsidR="006E4390" w:rsidRPr="00E20829" w14:paraId="63C390BD" w14:textId="77777777">
        <w:trPr>
          <w:jc w:val="center"/>
        </w:trPr>
        <w:tc>
          <w:tcPr>
            <w:tcW w:w="4320" w:type="dxa"/>
          </w:tcPr>
          <w:p w14:paraId="6141360B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DC32DDF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Global</w:t>
            </w:r>
          </w:p>
        </w:tc>
      </w:tr>
      <w:tr w:rsidR="006E4390" w:rsidRPr="00E20829" w14:paraId="2DD4CD60" w14:textId="77777777">
        <w:trPr>
          <w:jc w:val="center"/>
        </w:trPr>
        <w:tc>
          <w:tcPr>
            <w:tcW w:w="4320" w:type="dxa"/>
          </w:tcPr>
          <w:p w14:paraId="60947C7F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3B790C2C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N/A</w:t>
            </w:r>
          </w:p>
        </w:tc>
      </w:tr>
      <w:tr w:rsidR="006E4390" w:rsidRPr="00E20829" w14:paraId="71413780" w14:textId="77777777">
        <w:trPr>
          <w:jc w:val="center"/>
        </w:trPr>
        <w:tc>
          <w:tcPr>
            <w:tcW w:w="4320" w:type="dxa"/>
          </w:tcPr>
          <w:p w14:paraId="57D7AA19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7A57334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1.0</w:t>
            </w:r>
          </w:p>
        </w:tc>
      </w:tr>
      <w:tr w:rsidR="006E4390" w:rsidRPr="00E20829" w14:paraId="3CFBF0DF" w14:textId="77777777">
        <w:trPr>
          <w:jc w:val="center"/>
        </w:trPr>
        <w:tc>
          <w:tcPr>
            <w:tcW w:w="4320" w:type="dxa"/>
          </w:tcPr>
          <w:p w14:paraId="6DFB30BE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889E3FB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Effective</w:t>
            </w:r>
          </w:p>
        </w:tc>
      </w:tr>
      <w:tr w:rsidR="006E4390" w:rsidRPr="00E20829" w14:paraId="4D53796C" w14:textId="77777777">
        <w:trPr>
          <w:jc w:val="center"/>
        </w:trPr>
        <w:tc>
          <w:tcPr>
            <w:tcW w:w="4320" w:type="dxa"/>
          </w:tcPr>
          <w:p w14:paraId="285468F0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94A956E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31-Jul-2026</w:t>
            </w:r>
          </w:p>
        </w:tc>
      </w:tr>
      <w:tr w:rsidR="006E4390" w:rsidRPr="00E20829" w14:paraId="0804ACB4" w14:textId="77777777">
        <w:trPr>
          <w:jc w:val="center"/>
        </w:trPr>
        <w:tc>
          <w:tcPr>
            <w:tcW w:w="4320" w:type="dxa"/>
          </w:tcPr>
          <w:p w14:paraId="1666039F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2A5A701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Clinical Operations</w:t>
            </w:r>
          </w:p>
        </w:tc>
      </w:tr>
    </w:tbl>
    <w:p w14:paraId="366238FA" w14:textId="77777777" w:rsidR="006E4390" w:rsidRPr="00E20829" w:rsidRDefault="00000000">
      <w:pPr>
        <w:pStyle w:val="Heading1"/>
        <w:rPr>
          <w:color w:val="000000" w:themeColor="text1"/>
        </w:rPr>
      </w:pPr>
      <w:r w:rsidRPr="00E20829">
        <w:rPr>
          <w:color w:val="000000" w:themeColor="text1"/>
        </w:rPr>
        <w:t>1. Purpose</w:t>
      </w:r>
    </w:p>
    <w:p w14:paraId="7130A283" w14:textId="77777777" w:rsidR="006E4390" w:rsidRPr="00E20829" w:rsidRDefault="00000000">
      <w:pPr>
        <w:rPr>
          <w:color w:val="000000" w:themeColor="text1"/>
        </w:rPr>
      </w:pPr>
      <w:r w:rsidRPr="00E20829">
        <w:rPr>
          <w:color w:val="000000" w:themeColor="text1"/>
        </w:rPr>
        <w:t>Provides study-specific operational procedures for start-up, conduct, documentation, escalation, issue handling and close-out.</w:t>
      </w:r>
    </w:p>
    <w:p w14:paraId="71D777AB" w14:textId="77777777" w:rsidR="006E4390" w:rsidRPr="00E20829" w:rsidRDefault="00000000">
      <w:pPr>
        <w:pStyle w:val="Heading1"/>
        <w:rPr>
          <w:color w:val="000000" w:themeColor="text1"/>
        </w:rPr>
      </w:pPr>
      <w:r w:rsidRPr="00E20829">
        <w:rPr>
          <w:color w:val="000000" w:themeColor="text1"/>
        </w:rPr>
        <w:t>2. Study Context</w:t>
      </w:r>
    </w:p>
    <w:p w14:paraId="7216D387" w14:textId="77777777" w:rsidR="006E4390" w:rsidRPr="00E20829" w:rsidRDefault="00000000">
      <w:pPr>
        <w:rPr>
          <w:color w:val="000000" w:themeColor="text1"/>
        </w:rPr>
      </w:pPr>
      <w:r w:rsidRPr="00E20829">
        <w:rPr>
          <w:color w:val="000000" w:themeColor="text1"/>
        </w:rPr>
        <w:t>This document applies to the fictional IMM-2026-001 Phase II clinical trial in immunology/allergy and is intended to support consistent, traceable study operations and inspection readiness.</w:t>
      </w:r>
    </w:p>
    <w:p w14:paraId="70BDDE59" w14:textId="77777777" w:rsidR="006E4390" w:rsidRPr="00E20829" w:rsidRDefault="00000000">
      <w:pPr>
        <w:pStyle w:val="Heading1"/>
        <w:rPr>
          <w:color w:val="000000" w:themeColor="text1"/>
        </w:rPr>
      </w:pPr>
      <w:r w:rsidRPr="00E20829">
        <w:rPr>
          <w:color w:val="000000" w:themeColor="text1"/>
        </w:rPr>
        <w:t>3. Governance and Responsibilities</w:t>
      </w:r>
    </w:p>
    <w:p w14:paraId="3F07E35C" w14:textId="77777777" w:rsidR="006E4390" w:rsidRPr="00E20829" w:rsidRDefault="00000000">
      <w:pPr>
        <w:rPr>
          <w:color w:val="000000" w:themeColor="text1"/>
        </w:rPr>
      </w:pPr>
      <w:r w:rsidRPr="00E20829">
        <w:rPr>
          <w:color w:val="000000" w:themeColor="text1"/>
        </w:rPr>
        <w:t>The document owner is Clinical Operations.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2CAA10F9" w14:textId="77777777" w:rsidR="006E4390" w:rsidRPr="00E20829" w:rsidRDefault="00000000">
      <w:pPr>
        <w:pStyle w:val="Heading1"/>
        <w:rPr>
          <w:color w:val="000000" w:themeColor="text1"/>
        </w:rPr>
      </w:pPr>
      <w:r w:rsidRPr="00E20829">
        <w:rPr>
          <w:color w:val="000000" w:themeColor="text1"/>
        </w:rPr>
        <w:lastRenderedPageBreak/>
        <w:t>4. Process Requirements</w:t>
      </w:r>
    </w:p>
    <w:p w14:paraId="1359DE0D" w14:textId="77777777" w:rsidR="006E4390" w:rsidRPr="00E20829" w:rsidRDefault="00000000">
      <w:pPr>
        <w:rPr>
          <w:color w:val="000000" w:themeColor="text1"/>
        </w:rPr>
      </w:pPr>
      <w:r w:rsidRPr="00E20829">
        <w:rPr>
          <w:color w:val="000000" w:themeColor="text1"/>
        </w:rPr>
        <w:t>Activities covered by this document will be performed according to the approved protocol, applicable sponsor procedures, quality requirements, and relevant clinical-trial regulations. Records generated from these activities will be filed to the applicable TMF artifact.</w:t>
      </w:r>
    </w:p>
    <w:p w14:paraId="79A85809" w14:textId="77777777" w:rsidR="006E4390" w:rsidRPr="00E20829" w:rsidRDefault="00000000">
      <w:pPr>
        <w:pStyle w:val="Heading1"/>
        <w:rPr>
          <w:color w:val="000000" w:themeColor="text1"/>
        </w:rPr>
      </w:pPr>
      <w:r w:rsidRPr="00E20829">
        <w:rPr>
          <w:color w:val="000000" w:themeColor="text1"/>
        </w:rPr>
        <w:t>5. Oversight and Escalation</w:t>
      </w:r>
    </w:p>
    <w:p w14:paraId="4A463DC4" w14:textId="77777777" w:rsidR="006E4390" w:rsidRPr="00E20829" w:rsidRDefault="00000000">
      <w:pPr>
        <w:rPr>
          <w:color w:val="000000" w:themeColor="text1"/>
        </w:rPr>
      </w:pPr>
      <w:r w:rsidRPr="00E20829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03BC62A5" w14:textId="77777777" w:rsidR="006E4390" w:rsidRPr="00E20829" w:rsidRDefault="00000000">
      <w:pPr>
        <w:pStyle w:val="Heading1"/>
        <w:rPr>
          <w:color w:val="000000" w:themeColor="text1"/>
        </w:rPr>
      </w:pPr>
      <w:r w:rsidRPr="00E20829">
        <w:rPr>
          <w:color w:val="000000" w:themeColor="text1"/>
        </w:rPr>
        <w:t>6. Document Maintenance</w:t>
      </w:r>
    </w:p>
    <w:p w14:paraId="6D2110A2" w14:textId="77777777" w:rsidR="006E4390" w:rsidRPr="00E20829" w:rsidRDefault="00000000">
      <w:pPr>
        <w:rPr>
          <w:color w:val="000000" w:themeColor="text1"/>
        </w:rPr>
      </w:pPr>
      <w:r w:rsidRPr="00E20829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2887F5A3" w14:textId="77777777" w:rsidR="006E4390" w:rsidRPr="00E20829" w:rsidRDefault="00000000">
      <w:pPr>
        <w:pStyle w:val="Heading1"/>
        <w:rPr>
          <w:color w:val="000000" w:themeColor="text1"/>
        </w:rPr>
      </w:pPr>
      <w:r w:rsidRPr="00E20829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6E4390" w:rsidRPr="00E20829" w14:paraId="75B6545B" w14:textId="77777777">
        <w:tc>
          <w:tcPr>
            <w:tcW w:w="2160" w:type="dxa"/>
          </w:tcPr>
          <w:p w14:paraId="02E73F84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C7C617F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AB54E55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288AF3C3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Description</w:t>
            </w:r>
          </w:p>
        </w:tc>
      </w:tr>
      <w:tr w:rsidR="006E4390" w:rsidRPr="00E20829" w14:paraId="4082EED4" w14:textId="77777777">
        <w:tc>
          <w:tcPr>
            <w:tcW w:w="2160" w:type="dxa"/>
          </w:tcPr>
          <w:p w14:paraId="6ECF2310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1B810E55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31-Jul-2026</w:t>
            </w:r>
          </w:p>
        </w:tc>
        <w:tc>
          <w:tcPr>
            <w:tcW w:w="2160" w:type="dxa"/>
          </w:tcPr>
          <w:p w14:paraId="410F8D8C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0CB61652" w14:textId="77777777" w:rsidR="006E4390" w:rsidRPr="00E20829" w:rsidRDefault="00000000">
            <w:pPr>
              <w:rPr>
                <w:color w:val="000000" w:themeColor="text1"/>
              </w:rPr>
            </w:pPr>
            <w:r w:rsidRPr="00E20829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A1106D7" w14:textId="77777777" w:rsidR="006E4390" w:rsidRPr="00E20829" w:rsidRDefault="00000000">
      <w:pPr>
        <w:rPr>
          <w:color w:val="000000" w:themeColor="text1"/>
        </w:rPr>
      </w:pPr>
      <w:r w:rsidRPr="00E20829">
        <w:rPr>
          <w:b/>
          <w:color w:val="000000" w:themeColor="text1"/>
        </w:rPr>
        <w:t xml:space="preserve">TRAINING USE ONLY — </w:t>
      </w:r>
      <w:r w:rsidRPr="00E20829">
        <w:rPr>
          <w:color w:val="000000" w:themeColor="text1"/>
        </w:rPr>
        <w:t>This document is fictional and is not a record from a real clinical trial.</w:t>
      </w:r>
    </w:p>
    <w:sectPr w:rsidR="006E4390" w:rsidRPr="00E208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000262">
    <w:abstractNumId w:val="8"/>
  </w:num>
  <w:num w:numId="2" w16cid:durableId="327253919">
    <w:abstractNumId w:val="6"/>
  </w:num>
  <w:num w:numId="3" w16cid:durableId="1105030300">
    <w:abstractNumId w:val="5"/>
  </w:num>
  <w:num w:numId="4" w16cid:durableId="98767526">
    <w:abstractNumId w:val="4"/>
  </w:num>
  <w:num w:numId="5" w16cid:durableId="1526945984">
    <w:abstractNumId w:val="7"/>
  </w:num>
  <w:num w:numId="6" w16cid:durableId="748502090">
    <w:abstractNumId w:val="3"/>
  </w:num>
  <w:num w:numId="7" w16cid:durableId="133104487">
    <w:abstractNumId w:val="2"/>
  </w:num>
  <w:num w:numId="8" w16cid:durableId="1679385315">
    <w:abstractNumId w:val="1"/>
  </w:num>
  <w:num w:numId="9" w16cid:durableId="6115225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4390"/>
    <w:rsid w:val="00AA1D8D"/>
    <w:rsid w:val="00B47730"/>
    <w:rsid w:val="00CB0664"/>
    <w:rsid w:val="00D34426"/>
    <w:rsid w:val="00E208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3FBCC5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2026-08-18T17:57:00Z</dcterms:created>
  <dcterms:modified xsi:type="dcterms:W3CDTF">2026-08-18T17:57:00Z</dcterms:modified>
  <cp:category/>
</cp:coreProperties>
</file>