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0637AD" w14:textId="77777777" w:rsidR="00A14AAB" w:rsidRPr="00EC0955" w:rsidRDefault="00000000">
      <w:pPr>
        <w:jc w:val="center"/>
        <w:rPr>
          <w:color w:val="000000" w:themeColor="text1"/>
        </w:rPr>
      </w:pPr>
      <w:r w:rsidRPr="00EC0955">
        <w:rPr>
          <w:b/>
          <w:color w:val="000000" w:themeColor="text1"/>
          <w:sz w:val="36"/>
        </w:rPr>
        <w:t>SITE FEASIBILITY QUESTIONNAIRE</w:t>
      </w:r>
    </w:p>
    <w:p w14:paraId="7E92DC6F" w14:textId="77777777" w:rsidR="00A14AAB" w:rsidRPr="00EC0955" w:rsidRDefault="00000000">
      <w:pPr>
        <w:jc w:val="center"/>
        <w:rPr>
          <w:color w:val="000000" w:themeColor="text1"/>
        </w:rPr>
      </w:pPr>
      <w:r w:rsidRPr="00EC0955">
        <w:rPr>
          <w:b/>
          <w:color w:val="000000" w:themeColor="text1"/>
          <w:sz w:val="26"/>
        </w:rPr>
        <w:t>IMM-2026-001</w:t>
      </w:r>
    </w:p>
    <w:p w14:paraId="631F8070" w14:textId="77777777" w:rsidR="00A14AAB" w:rsidRPr="00EC0955" w:rsidRDefault="00000000">
      <w:pPr>
        <w:jc w:val="center"/>
        <w:rPr>
          <w:color w:val="000000" w:themeColor="text1"/>
        </w:rPr>
      </w:pPr>
      <w:r w:rsidRPr="00EC0955">
        <w:rPr>
          <w:i/>
          <w:color w:val="000000" w:themeColor="text1"/>
        </w:rPr>
        <w:t>Version 1.0</w:t>
      </w:r>
    </w:p>
    <w:p w14:paraId="4A8F3B1A" w14:textId="77777777" w:rsidR="00A14AAB" w:rsidRPr="00EC0955" w:rsidRDefault="00000000">
      <w:pPr>
        <w:pStyle w:val="Heading1"/>
        <w:rPr>
          <w:color w:val="000000" w:themeColor="text1"/>
        </w:rPr>
      </w:pPr>
      <w:r w:rsidRPr="00EC0955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A14AAB" w:rsidRPr="00EC0955" w14:paraId="20FE22D2" w14:textId="77777777">
        <w:trPr>
          <w:jc w:val="center"/>
        </w:trPr>
        <w:tc>
          <w:tcPr>
            <w:tcW w:w="4320" w:type="dxa"/>
          </w:tcPr>
          <w:p w14:paraId="73DB3C4B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3CA50002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Site Feasibility Questionnaire</w:t>
            </w:r>
          </w:p>
        </w:tc>
      </w:tr>
      <w:tr w:rsidR="00A14AAB" w:rsidRPr="00EC0955" w14:paraId="79E09A4A" w14:textId="77777777">
        <w:trPr>
          <w:jc w:val="center"/>
        </w:trPr>
        <w:tc>
          <w:tcPr>
            <w:tcW w:w="4320" w:type="dxa"/>
          </w:tcPr>
          <w:p w14:paraId="508AA0D0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71483330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DOC-0027</w:t>
            </w:r>
          </w:p>
        </w:tc>
      </w:tr>
      <w:tr w:rsidR="00A14AAB" w:rsidRPr="00EC0955" w14:paraId="6F44F48D" w14:textId="77777777">
        <w:trPr>
          <w:jc w:val="center"/>
        </w:trPr>
        <w:tc>
          <w:tcPr>
            <w:tcW w:w="4320" w:type="dxa"/>
          </w:tcPr>
          <w:p w14:paraId="388C11A1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708D13FE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01.03.02</w:t>
            </w:r>
          </w:p>
        </w:tc>
      </w:tr>
      <w:tr w:rsidR="00A14AAB" w:rsidRPr="00EC0955" w14:paraId="14CE08F3" w14:textId="77777777">
        <w:trPr>
          <w:jc w:val="center"/>
        </w:trPr>
        <w:tc>
          <w:tcPr>
            <w:tcW w:w="4320" w:type="dxa"/>
          </w:tcPr>
          <w:p w14:paraId="4366BA09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56FBCC00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IMM-2026-001</w:t>
            </w:r>
          </w:p>
        </w:tc>
      </w:tr>
      <w:tr w:rsidR="00A14AAB" w:rsidRPr="00EC0955" w14:paraId="237BE482" w14:textId="77777777">
        <w:trPr>
          <w:jc w:val="center"/>
        </w:trPr>
        <w:tc>
          <w:tcPr>
            <w:tcW w:w="4320" w:type="dxa"/>
          </w:tcPr>
          <w:p w14:paraId="3F3A09CD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3096C7CE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Fictional Pharma Ltd.</w:t>
            </w:r>
          </w:p>
        </w:tc>
      </w:tr>
      <w:tr w:rsidR="00A14AAB" w:rsidRPr="00EC0955" w14:paraId="320D21A1" w14:textId="77777777">
        <w:trPr>
          <w:jc w:val="center"/>
        </w:trPr>
        <w:tc>
          <w:tcPr>
            <w:tcW w:w="4320" w:type="dxa"/>
          </w:tcPr>
          <w:p w14:paraId="62FA0B51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2D911631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Immunology / Allergy</w:t>
            </w:r>
          </w:p>
        </w:tc>
      </w:tr>
      <w:tr w:rsidR="00A14AAB" w:rsidRPr="00EC0955" w14:paraId="2914B3E3" w14:textId="77777777">
        <w:trPr>
          <w:jc w:val="center"/>
        </w:trPr>
        <w:tc>
          <w:tcPr>
            <w:tcW w:w="4320" w:type="dxa"/>
          </w:tcPr>
          <w:p w14:paraId="3CCFF06F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047AF17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Moderate-to-Severe Atopic Dermatitis</w:t>
            </w:r>
          </w:p>
        </w:tc>
      </w:tr>
      <w:tr w:rsidR="00A14AAB" w:rsidRPr="00EC0955" w14:paraId="4DDD9261" w14:textId="77777777">
        <w:trPr>
          <w:jc w:val="center"/>
        </w:trPr>
        <w:tc>
          <w:tcPr>
            <w:tcW w:w="4320" w:type="dxa"/>
          </w:tcPr>
          <w:p w14:paraId="1A45DD97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0552A055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Phase II</w:t>
            </w:r>
          </w:p>
        </w:tc>
      </w:tr>
      <w:tr w:rsidR="00A14AAB" w:rsidRPr="00EC0955" w14:paraId="0C559ADB" w14:textId="77777777">
        <w:trPr>
          <w:jc w:val="center"/>
        </w:trPr>
        <w:tc>
          <w:tcPr>
            <w:tcW w:w="4320" w:type="dxa"/>
          </w:tcPr>
          <w:p w14:paraId="4845613D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28B03E5F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Randomized, Double-Blind, Placebo-Controlled</w:t>
            </w:r>
          </w:p>
        </w:tc>
      </w:tr>
      <w:tr w:rsidR="00A14AAB" w:rsidRPr="00EC0955" w14:paraId="4A37554D" w14:textId="77777777">
        <w:trPr>
          <w:jc w:val="center"/>
        </w:trPr>
        <w:tc>
          <w:tcPr>
            <w:tcW w:w="4320" w:type="dxa"/>
          </w:tcPr>
          <w:p w14:paraId="4B227CF4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05207BBB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IMM-101</w:t>
            </w:r>
          </w:p>
        </w:tc>
      </w:tr>
      <w:tr w:rsidR="00A14AAB" w:rsidRPr="00EC0955" w14:paraId="445B69F2" w14:textId="77777777">
        <w:trPr>
          <w:jc w:val="center"/>
        </w:trPr>
        <w:tc>
          <w:tcPr>
            <w:tcW w:w="4320" w:type="dxa"/>
          </w:tcPr>
          <w:p w14:paraId="47D056CB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1E9E9233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Trial</w:t>
            </w:r>
          </w:p>
        </w:tc>
      </w:tr>
      <w:tr w:rsidR="00A14AAB" w:rsidRPr="00EC0955" w14:paraId="40F3231E" w14:textId="77777777">
        <w:trPr>
          <w:jc w:val="center"/>
        </w:trPr>
        <w:tc>
          <w:tcPr>
            <w:tcW w:w="4320" w:type="dxa"/>
          </w:tcPr>
          <w:p w14:paraId="01FC4455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45D61512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Global</w:t>
            </w:r>
          </w:p>
        </w:tc>
      </w:tr>
      <w:tr w:rsidR="00A14AAB" w:rsidRPr="00EC0955" w14:paraId="03EDF727" w14:textId="77777777">
        <w:trPr>
          <w:jc w:val="center"/>
        </w:trPr>
        <w:tc>
          <w:tcPr>
            <w:tcW w:w="4320" w:type="dxa"/>
          </w:tcPr>
          <w:p w14:paraId="4A96FCA1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1D669850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N/A</w:t>
            </w:r>
          </w:p>
        </w:tc>
      </w:tr>
      <w:tr w:rsidR="00A14AAB" w:rsidRPr="00EC0955" w14:paraId="6C5DADD5" w14:textId="77777777">
        <w:trPr>
          <w:jc w:val="center"/>
        </w:trPr>
        <w:tc>
          <w:tcPr>
            <w:tcW w:w="4320" w:type="dxa"/>
          </w:tcPr>
          <w:p w14:paraId="5B2F4E96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40E6ABE8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1.0</w:t>
            </w:r>
          </w:p>
        </w:tc>
      </w:tr>
      <w:tr w:rsidR="00A14AAB" w:rsidRPr="00EC0955" w14:paraId="637F3BD7" w14:textId="77777777">
        <w:trPr>
          <w:jc w:val="center"/>
        </w:trPr>
        <w:tc>
          <w:tcPr>
            <w:tcW w:w="4320" w:type="dxa"/>
          </w:tcPr>
          <w:p w14:paraId="60E2BA50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75128B84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Effective</w:t>
            </w:r>
          </w:p>
        </w:tc>
      </w:tr>
      <w:tr w:rsidR="00A14AAB" w:rsidRPr="00EC0955" w14:paraId="4B3590C3" w14:textId="77777777">
        <w:trPr>
          <w:jc w:val="center"/>
        </w:trPr>
        <w:tc>
          <w:tcPr>
            <w:tcW w:w="4320" w:type="dxa"/>
          </w:tcPr>
          <w:p w14:paraId="23278EBC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3F9B7DCA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20-Sep-2026</w:t>
            </w:r>
          </w:p>
        </w:tc>
      </w:tr>
      <w:tr w:rsidR="00A14AAB" w:rsidRPr="00EC0955" w14:paraId="0B9C23D5" w14:textId="77777777">
        <w:trPr>
          <w:jc w:val="center"/>
        </w:trPr>
        <w:tc>
          <w:tcPr>
            <w:tcW w:w="4320" w:type="dxa"/>
          </w:tcPr>
          <w:p w14:paraId="60FF75A2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4350BE2A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Clinical Operations</w:t>
            </w:r>
          </w:p>
        </w:tc>
      </w:tr>
    </w:tbl>
    <w:p w14:paraId="00175C4D" w14:textId="77777777" w:rsidR="00A14AAB" w:rsidRPr="00EC0955" w:rsidRDefault="00000000">
      <w:pPr>
        <w:pStyle w:val="Heading1"/>
        <w:rPr>
          <w:color w:val="000000" w:themeColor="text1"/>
        </w:rPr>
      </w:pPr>
      <w:r w:rsidRPr="00EC0955">
        <w:rPr>
          <w:color w:val="000000" w:themeColor="text1"/>
        </w:rPr>
        <w:t>1. Purpose</w:t>
      </w:r>
    </w:p>
    <w:p w14:paraId="1B3CB91C" w14:textId="77777777" w:rsidR="00A14AAB" w:rsidRPr="00EC0955" w:rsidRDefault="00000000">
      <w:pPr>
        <w:rPr>
          <w:color w:val="000000" w:themeColor="text1"/>
        </w:rPr>
      </w:pPr>
      <w:r w:rsidRPr="00EC0955">
        <w:rPr>
          <w:color w:val="000000" w:themeColor="text1"/>
        </w:rPr>
        <w:t>Provides the controlled questionnaire used to collect standardized information on potential sites, capabilities, patient population, resources, experience, and operational readiness.</w:t>
      </w:r>
    </w:p>
    <w:p w14:paraId="0396376D" w14:textId="77777777" w:rsidR="00A14AAB" w:rsidRPr="00EC0955" w:rsidRDefault="00000000">
      <w:pPr>
        <w:pStyle w:val="Heading1"/>
        <w:rPr>
          <w:color w:val="000000" w:themeColor="text1"/>
        </w:rPr>
      </w:pPr>
      <w:r w:rsidRPr="00EC0955">
        <w:rPr>
          <w:color w:val="000000" w:themeColor="text1"/>
        </w:rPr>
        <w:t>2. Study Context</w:t>
      </w:r>
    </w:p>
    <w:p w14:paraId="34D8FFF4" w14:textId="77777777" w:rsidR="00A14AAB" w:rsidRPr="00EC0955" w:rsidRDefault="00000000">
      <w:pPr>
        <w:rPr>
          <w:color w:val="000000" w:themeColor="text1"/>
        </w:rPr>
      </w:pPr>
      <w:r w:rsidRPr="00EC0955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03E005B1" w14:textId="77777777" w:rsidR="00A14AAB" w:rsidRPr="00EC0955" w:rsidRDefault="00000000">
      <w:pPr>
        <w:pStyle w:val="Heading1"/>
        <w:rPr>
          <w:color w:val="000000" w:themeColor="text1"/>
        </w:rPr>
      </w:pPr>
      <w:r w:rsidRPr="00EC0955">
        <w:rPr>
          <w:color w:val="000000" w:themeColor="text1"/>
        </w:rPr>
        <w:t>3. Governance and Responsibilities</w:t>
      </w:r>
    </w:p>
    <w:p w14:paraId="444706CE" w14:textId="77777777" w:rsidR="00A14AAB" w:rsidRPr="00EC0955" w:rsidRDefault="00000000">
      <w:pPr>
        <w:rPr>
          <w:color w:val="000000" w:themeColor="text1"/>
        </w:rPr>
      </w:pPr>
      <w:r w:rsidRPr="00EC0955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73DCECD1" w14:textId="77777777" w:rsidR="00A14AAB" w:rsidRPr="00EC0955" w:rsidRDefault="00000000">
      <w:pPr>
        <w:pStyle w:val="Heading1"/>
        <w:rPr>
          <w:color w:val="000000" w:themeColor="text1"/>
        </w:rPr>
      </w:pPr>
      <w:r w:rsidRPr="00EC0955">
        <w:rPr>
          <w:color w:val="000000" w:themeColor="text1"/>
        </w:rPr>
        <w:lastRenderedPageBreak/>
        <w:t>4. Process Requirements</w:t>
      </w:r>
    </w:p>
    <w:p w14:paraId="7D7601E9" w14:textId="77777777" w:rsidR="00A14AAB" w:rsidRPr="00EC0955" w:rsidRDefault="00000000">
      <w:pPr>
        <w:rPr>
          <w:color w:val="000000" w:themeColor="text1"/>
        </w:rPr>
      </w:pPr>
      <w:r w:rsidRPr="00EC0955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33344EBE" w14:textId="77777777" w:rsidR="00A14AAB" w:rsidRPr="00EC0955" w:rsidRDefault="00000000">
      <w:pPr>
        <w:pStyle w:val="Heading1"/>
        <w:rPr>
          <w:color w:val="000000" w:themeColor="text1"/>
        </w:rPr>
      </w:pPr>
      <w:r w:rsidRPr="00EC0955">
        <w:rPr>
          <w:color w:val="000000" w:themeColor="text1"/>
        </w:rPr>
        <w:t>5. Oversight and Escalation</w:t>
      </w:r>
    </w:p>
    <w:p w14:paraId="78BD95AD" w14:textId="77777777" w:rsidR="00A14AAB" w:rsidRPr="00EC0955" w:rsidRDefault="00000000">
      <w:pPr>
        <w:rPr>
          <w:color w:val="000000" w:themeColor="text1"/>
        </w:rPr>
      </w:pPr>
      <w:r w:rsidRPr="00EC0955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1C241911" w14:textId="77777777" w:rsidR="00A14AAB" w:rsidRPr="00EC0955" w:rsidRDefault="00000000">
      <w:pPr>
        <w:pStyle w:val="Heading1"/>
        <w:rPr>
          <w:color w:val="000000" w:themeColor="text1"/>
        </w:rPr>
      </w:pPr>
      <w:r w:rsidRPr="00EC0955">
        <w:rPr>
          <w:color w:val="000000" w:themeColor="text1"/>
        </w:rPr>
        <w:t>6. Document Maintenance</w:t>
      </w:r>
    </w:p>
    <w:p w14:paraId="2FE26763" w14:textId="77777777" w:rsidR="00A14AAB" w:rsidRPr="00EC0955" w:rsidRDefault="00000000">
      <w:pPr>
        <w:rPr>
          <w:color w:val="000000" w:themeColor="text1"/>
        </w:rPr>
      </w:pPr>
      <w:r w:rsidRPr="00EC0955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1BA4FC03" w14:textId="77777777" w:rsidR="00A14AAB" w:rsidRPr="00EC0955" w:rsidRDefault="00000000">
      <w:pPr>
        <w:pStyle w:val="Heading1"/>
        <w:rPr>
          <w:color w:val="000000" w:themeColor="text1"/>
        </w:rPr>
      </w:pPr>
      <w:r w:rsidRPr="00EC0955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A14AAB" w:rsidRPr="00EC0955" w14:paraId="7EBBA32A" w14:textId="77777777">
        <w:tc>
          <w:tcPr>
            <w:tcW w:w="2160" w:type="dxa"/>
          </w:tcPr>
          <w:p w14:paraId="2364B7AA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69E6AD8D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519CEE49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0C6E4E39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Description</w:t>
            </w:r>
          </w:p>
        </w:tc>
      </w:tr>
      <w:tr w:rsidR="00A14AAB" w:rsidRPr="00EC0955" w14:paraId="16F63792" w14:textId="77777777">
        <w:tc>
          <w:tcPr>
            <w:tcW w:w="2160" w:type="dxa"/>
          </w:tcPr>
          <w:p w14:paraId="7F6F86E1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749652E8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20-Sep-2026</w:t>
            </w:r>
          </w:p>
        </w:tc>
        <w:tc>
          <w:tcPr>
            <w:tcW w:w="2160" w:type="dxa"/>
          </w:tcPr>
          <w:p w14:paraId="45F78125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432253D0" w14:textId="77777777" w:rsidR="00A14AAB" w:rsidRPr="00EC0955" w:rsidRDefault="00000000">
            <w:pPr>
              <w:rPr>
                <w:color w:val="000000" w:themeColor="text1"/>
              </w:rPr>
            </w:pPr>
            <w:r w:rsidRPr="00EC0955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7EBE89D1" w14:textId="77777777" w:rsidR="00A14AAB" w:rsidRPr="00EC0955" w:rsidRDefault="00000000">
      <w:pPr>
        <w:rPr>
          <w:color w:val="000000" w:themeColor="text1"/>
        </w:rPr>
      </w:pPr>
      <w:r w:rsidRPr="00EC0955">
        <w:rPr>
          <w:b/>
          <w:color w:val="000000" w:themeColor="text1"/>
        </w:rPr>
        <w:t xml:space="preserve">TRAINING USE ONLY — </w:t>
      </w:r>
      <w:r w:rsidRPr="00EC0955">
        <w:rPr>
          <w:color w:val="000000" w:themeColor="text1"/>
        </w:rPr>
        <w:t>This document is fictional and is not a record from a real clinical trial.</w:t>
      </w:r>
    </w:p>
    <w:sectPr w:rsidR="00A14AAB" w:rsidRPr="00EC09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235829">
    <w:abstractNumId w:val="8"/>
  </w:num>
  <w:num w:numId="2" w16cid:durableId="1502427047">
    <w:abstractNumId w:val="6"/>
  </w:num>
  <w:num w:numId="3" w16cid:durableId="1411850992">
    <w:abstractNumId w:val="5"/>
  </w:num>
  <w:num w:numId="4" w16cid:durableId="1376202874">
    <w:abstractNumId w:val="4"/>
  </w:num>
  <w:num w:numId="5" w16cid:durableId="1733692805">
    <w:abstractNumId w:val="7"/>
  </w:num>
  <w:num w:numId="6" w16cid:durableId="1301689592">
    <w:abstractNumId w:val="3"/>
  </w:num>
  <w:num w:numId="7" w16cid:durableId="1288002531">
    <w:abstractNumId w:val="2"/>
  </w:num>
  <w:num w:numId="8" w16cid:durableId="1690569690">
    <w:abstractNumId w:val="1"/>
  </w:num>
  <w:num w:numId="9" w16cid:durableId="20777786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14AAB"/>
    <w:rsid w:val="00AA1D8D"/>
    <w:rsid w:val="00B47730"/>
    <w:rsid w:val="00CB0664"/>
    <w:rsid w:val="00D34426"/>
    <w:rsid w:val="00EC0955"/>
    <w:rsid w:val="00F534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807FA7F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2026-08-18T18:27:00Z</dcterms:created>
  <dcterms:modified xsi:type="dcterms:W3CDTF">2026-08-18T18:27:00Z</dcterms:modified>
  <cp:category/>
</cp:coreProperties>
</file>