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B9701F" w14:textId="77777777" w:rsidR="00B75042" w:rsidRPr="005A20AC" w:rsidRDefault="00000000">
      <w:pPr>
        <w:jc w:val="center"/>
        <w:rPr>
          <w:color w:val="000000" w:themeColor="text1"/>
        </w:rPr>
      </w:pPr>
      <w:r w:rsidRPr="005A20AC">
        <w:rPr>
          <w:b/>
          <w:color w:val="000000" w:themeColor="text1"/>
          <w:sz w:val="36"/>
        </w:rPr>
        <w:t>SITE SELECTION REPORT</w:t>
      </w:r>
    </w:p>
    <w:p w14:paraId="2B0F52D8" w14:textId="77777777" w:rsidR="00B75042" w:rsidRPr="005A20AC" w:rsidRDefault="00000000">
      <w:pPr>
        <w:jc w:val="center"/>
        <w:rPr>
          <w:color w:val="000000" w:themeColor="text1"/>
        </w:rPr>
      </w:pPr>
      <w:r w:rsidRPr="005A20AC">
        <w:rPr>
          <w:b/>
          <w:color w:val="000000" w:themeColor="text1"/>
          <w:sz w:val="26"/>
        </w:rPr>
        <w:t>IMM-2026-001</w:t>
      </w:r>
    </w:p>
    <w:p w14:paraId="05E9EC6F" w14:textId="77777777" w:rsidR="00B75042" w:rsidRPr="005A20AC" w:rsidRDefault="00000000">
      <w:pPr>
        <w:jc w:val="center"/>
        <w:rPr>
          <w:color w:val="000000" w:themeColor="text1"/>
        </w:rPr>
      </w:pPr>
      <w:r w:rsidRPr="005A20AC">
        <w:rPr>
          <w:i/>
          <w:color w:val="000000" w:themeColor="text1"/>
        </w:rPr>
        <w:t>Version 1.0</w:t>
      </w:r>
    </w:p>
    <w:p w14:paraId="7A200822" w14:textId="77777777" w:rsidR="00B75042" w:rsidRPr="005A20AC" w:rsidRDefault="00000000">
      <w:pPr>
        <w:pStyle w:val="Heading1"/>
        <w:rPr>
          <w:color w:val="000000" w:themeColor="text1"/>
        </w:rPr>
      </w:pPr>
      <w:r w:rsidRPr="005A20AC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B75042" w:rsidRPr="005A20AC" w14:paraId="653B3251" w14:textId="77777777">
        <w:trPr>
          <w:jc w:val="center"/>
        </w:trPr>
        <w:tc>
          <w:tcPr>
            <w:tcW w:w="4320" w:type="dxa"/>
          </w:tcPr>
          <w:p w14:paraId="39E4E7D4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1D9E8403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Site Selection Report</w:t>
            </w:r>
          </w:p>
        </w:tc>
      </w:tr>
      <w:tr w:rsidR="00B75042" w:rsidRPr="005A20AC" w14:paraId="441858B6" w14:textId="77777777">
        <w:trPr>
          <w:jc w:val="center"/>
        </w:trPr>
        <w:tc>
          <w:tcPr>
            <w:tcW w:w="4320" w:type="dxa"/>
          </w:tcPr>
          <w:p w14:paraId="2B06355A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28399510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DOC-0028</w:t>
            </w:r>
          </w:p>
        </w:tc>
      </w:tr>
      <w:tr w:rsidR="00B75042" w:rsidRPr="005A20AC" w14:paraId="56356171" w14:textId="77777777">
        <w:trPr>
          <w:jc w:val="center"/>
        </w:trPr>
        <w:tc>
          <w:tcPr>
            <w:tcW w:w="4320" w:type="dxa"/>
          </w:tcPr>
          <w:p w14:paraId="7510060C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02C4E297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01.03.03</w:t>
            </w:r>
          </w:p>
        </w:tc>
      </w:tr>
      <w:tr w:rsidR="00B75042" w:rsidRPr="005A20AC" w14:paraId="7BA660AE" w14:textId="77777777">
        <w:trPr>
          <w:jc w:val="center"/>
        </w:trPr>
        <w:tc>
          <w:tcPr>
            <w:tcW w:w="4320" w:type="dxa"/>
          </w:tcPr>
          <w:p w14:paraId="58E81ACC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5B58E06B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IMM-2026-001</w:t>
            </w:r>
          </w:p>
        </w:tc>
      </w:tr>
      <w:tr w:rsidR="00B75042" w:rsidRPr="005A20AC" w14:paraId="4FCA0A43" w14:textId="77777777">
        <w:trPr>
          <w:jc w:val="center"/>
        </w:trPr>
        <w:tc>
          <w:tcPr>
            <w:tcW w:w="4320" w:type="dxa"/>
          </w:tcPr>
          <w:p w14:paraId="38D7DE0F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4C6EC009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Fictional Pharma Ltd.</w:t>
            </w:r>
          </w:p>
        </w:tc>
      </w:tr>
      <w:tr w:rsidR="00B75042" w:rsidRPr="005A20AC" w14:paraId="563DA9CD" w14:textId="77777777">
        <w:trPr>
          <w:jc w:val="center"/>
        </w:trPr>
        <w:tc>
          <w:tcPr>
            <w:tcW w:w="4320" w:type="dxa"/>
          </w:tcPr>
          <w:p w14:paraId="14F882E3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1CC1EA13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Immunology / Allergy</w:t>
            </w:r>
          </w:p>
        </w:tc>
      </w:tr>
      <w:tr w:rsidR="00B75042" w:rsidRPr="005A20AC" w14:paraId="39AA75B5" w14:textId="77777777">
        <w:trPr>
          <w:jc w:val="center"/>
        </w:trPr>
        <w:tc>
          <w:tcPr>
            <w:tcW w:w="4320" w:type="dxa"/>
          </w:tcPr>
          <w:p w14:paraId="16A80194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46515804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Moderate-to-Severe Atopic Dermatitis</w:t>
            </w:r>
          </w:p>
        </w:tc>
      </w:tr>
      <w:tr w:rsidR="00B75042" w:rsidRPr="005A20AC" w14:paraId="57947840" w14:textId="77777777">
        <w:trPr>
          <w:jc w:val="center"/>
        </w:trPr>
        <w:tc>
          <w:tcPr>
            <w:tcW w:w="4320" w:type="dxa"/>
          </w:tcPr>
          <w:p w14:paraId="5B727BF1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5209A890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Phase II</w:t>
            </w:r>
          </w:p>
        </w:tc>
      </w:tr>
      <w:tr w:rsidR="00B75042" w:rsidRPr="005A20AC" w14:paraId="1ADFC81E" w14:textId="77777777">
        <w:trPr>
          <w:jc w:val="center"/>
        </w:trPr>
        <w:tc>
          <w:tcPr>
            <w:tcW w:w="4320" w:type="dxa"/>
          </w:tcPr>
          <w:p w14:paraId="75D60437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2E6CB16F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Randomized, Double-Blind, Placebo-Controlled</w:t>
            </w:r>
          </w:p>
        </w:tc>
      </w:tr>
      <w:tr w:rsidR="00B75042" w:rsidRPr="005A20AC" w14:paraId="49269695" w14:textId="77777777">
        <w:trPr>
          <w:jc w:val="center"/>
        </w:trPr>
        <w:tc>
          <w:tcPr>
            <w:tcW w:w="4320" w:type="dxa"/>
          </w:tcPr>
          <w:p w14:paraId="160CE3BE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0789B663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IMM-101</w:t>
            </w:r>
          </w:p>
        </w:tc>
      </w:tr>
      <w:tr w:rsidR="00B75042" w:rsidRPr="005A20AC" w14:paraId="5ECF4B2F" w14:textId="77777777">
        <w:trPr>
          <w:jc w:val="center"/>
        </w:trPr>
        <w:tc>
          <w:tcPr>
            <w:tcW w:w="4320" w:type="dxa"/>
          </w:tcPr>
          <w:p w14:paraId="686BA8D2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05386034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Trial</w:t>
            </w:r>
          </w:p>
        </w:tc>
      </w:tr>
      <w:tr w:rsidR="00B75042" w:rsidRPr="005A20AC" w14:paraId="151D4F88" w14:textId="77777777">
        <w:trPr>
          <w:jc w:val="center"/>
        </w:trPr>
        <w:tc>
          <w:tcPr>
            <w:tcW w:w="4320" w:type="dxa"/>
          </w:tcPr>
          <w:p w14:paraId="51842EED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570926AB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Global</w:t>
            </w:r>
          </w:p>
        </w:tc>
      </w:tr>
      <w:tr w:rsidR="00B75042" w:rsidRPr="005A20AC" w14:paraId="44D577E2" w14:textId="77777777">
        <w:trPr>
          <w:jc w:val="center"/>
        </w:trPr>
        <w:tc>
          <w:tcPr>
            <w:tcW w:w="4320" w:type="dxa"/>
          </w:tcPr>
          <w:p w14:paraId="2080CCFB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084471FC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N/A</w:t>
            </w:r>
          </w:p>
        </w:tc>
      </w:tr>
      <w:tr w:rsidR="00B75042" w:rsidRPr="005A20AC" w14:paraId="0024BEE0" w14:textId="77777777">
        <w:trPr>
          <w:jc w:val="center"/>
        </w:trPr>
        <w:tc>
          <w:tcPr>
            <w:tcW w:w="4320" w:type="dxa"/>
          </w:tcPr>
          <w:p w14:paraId="4C6500CD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59DCA14C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1.0</w:t>
            </w:r>
          </w:p>
        </w:tc>
      </w:tr>
      <w:tr w:rsidR="00B75042" w:rsidRPr="005A20AC" w14:paraId="5BEE4232" w14:textId="77777777">
        <w:trPr>
          <w:jc w:val="center"/>
        </w:trPr>
        <w:tc>
          <w:tcPr>
            <w:tcW w:w="4320" w:type="dxa"/>
          </w:tcPr>
          <w:p w14:paraId="1CBB37D2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55593FB7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Effective</w:t>
            </w:r>
          </w:p>
        </w:tc>
      </w:tr>
      <w:tr w:rsidR="00B75042" w:rsidRPr="005A20AC" w14:paraId="5FAA1D85" w14:textId="77777777">
        <w:trPr>
          <w:jc w:val="center"/>
        </w:trPr>
        <w:tc>
          <w:tcPr>
            <w:tcW w:w="4320" w:type="dxa"/>
          </w:tcPr>
          <w:p w14:paraId="5E6E5586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49D3DBF5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22-Sep-2026</w:t>
            </w:r>
          </w:p>
        </w:tc>
      </w:tr>
      <w:tr w:rsidR="00B75042" w:rsidRPr="005A20AC" w14:paraId="162AE489" w14:textId="77777777">
        <w:trPr>
          <w:jc w:val="center"/>
        </w:trPr>
        <w:tc>
          <w:tcPr>
            <w:tcW w:w="4320" w:type="dxa"/>
          </w:tcPr>
          <w:p w14:paraId="1C3B5727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2B8B32DC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Clinical Operations</w:t>
            </w:r>
          </w:p>
        </w:tc>
      </w:tr>
    </w:tbl>
    <w:p w14:paraId="068E219B" w14:textId="77777777" w:rsidR="00B75042" w:rsidRPr="005A20AC" w:rsidRDefault="00000000">
      <w:pPr>
        <w:pStyle w:val="Heading1"/>
        <w:rPr>
          <w:color w:val="000000" w:themeColor="text1"/>
        </w:rPr>
      </w:pPr>
      <w:r w:rsidRPr="005A20AC">
        <w:rPr>
          <w:color w:val="000000" w:themeColor="text1"/>
        </w:rPr>
        <w:t>1. Purpose</w:t>
      </w:r>
    </w:p>
    <w:p w14:paraId="15ABF5E0" w14:textId="77777777" w:rsidR="00B75042" w:rsidRPr="005A20AC" w:rsidRDefault="00000000">
      <w:pPr>
        <w:rPr>
          <w:color w:val="000000" w:themeColor="text1"/>
        </w:rPr>
      </w:pPr>
      <w:r w:rsidRPr="005A20AC">
        <w:rPr>
          <w:color w:val="000000" w:themeColor="text1"/>
        </w:rPr>
        <w:t>Documents the assessment and rationale for selecting a potential clinical site based on feasibility, capabilities, patient access, quality considerations, and study requirements.</w:t>
      </w:r>
    </w:p>
    <w:p w14:paraId="01045F8E" w14:textId="77777777" w:rsidR="00B75042" w:rsidRPr="005A20AC" w:rsidRDefault="00000000">
      <w:pPr>
        <w:pStyle w:val="Heading1"/>
        <w:rPr>
          <w:color w:val="000000" w:themeColor="text1"/>
        </w:rPr>
      </w:pPr>
      <w:r w:rsidRPr="005A20AC">
        <w:rPr>
          <w:color w:val="000000" w:themeColor="text1"/>
        </w:rPr>
        <w:t>2. Study Context</w:t>
      </w:r>
    </w:p>
    <w:p w14:paraId="1FD28183" w14:textId="77777777" w:rsidR="00B75042" w:rsidRPr="005A20AC" w:rsidRDefault="00000000">
      <w:pPr>
        <w:rPr>
          <w:color w:val="000000" w:themeColor="text1"/>
        </w:rPr>
      </w:pPr>
      <w:r w:rsidRPr="005A20AC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69BF3789" w14:textId="77777777" w:rsidR="00B75042" w:rsidRPr="005A20AC" w:rsidRDefault="00000000">
      <w:pPr>
        <w:pStyle w:val="Heading1"/>
        <w:rPr>
          <w:color w:val="000000" w:themeColor="text1"/>
        </w:rPr>
      </w:pPr>
      <w:r w:rsidRPr="005A20AC">
        <w:rPr>
          <w:color w:val="000000" w:themeColor="text1"/>
        </w:rPr>
        <w:t>3. Governance and Responsibilities</w:t>
      </w:r>
    </w:p>
    <w:p w14:paraId="67C269E8" w14:textId="77777777" w:rsidR="00B75042" w:rsidRPr="005A20AC" w:rsidRDefault="00000000">
      <w:pPr>
        <w:rPr>
          <w:color w:val="000000" w:themeColor="text1"/>
        </w:rPr>
      </w:pPr>
      <w:r w:rsidRPr="005A20AC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2865D76D" w14:textId="77777777" w:rsidR="00B75042" w:rsidRPr="005A20AC" w:rsidRDefault="00000000">
      <w:pPr>
        <w:pStyle w:val="Heading1"/>
        <w:rPr>
          <w:color w:val="000000" w:themeColor="text1"/>
        </w:rPr>
      </w:pPr>
      <w:r w:rsidRPr="005A20AC">
        <w:rPr>
          <w:color w:val="000000" w:themeColor="text1"/>
        </w:rPr>
        <w:lastRenderedPageBreak/>
        <w:t>4. Process Requirements</w:t>
      </w:r>
    </w:p>
    <w:p w14:paraId="66064AE2" w14:textId="77777777" w:rsidR="00B75042" w:rsidRPr="005A20AC" w:rsidRDefault="00000000">
      <w:pPr>
        <w:rPr>
          <w:color w:val="000000" w:themeColor="text1"/>
        </w:rPr>
      </w:pPr>
      <w:r w:rsidRPr="005A20AC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1A73BB96" w14:textId="77777777" w:rsidR="00B75042" w:rsidRPr="005A20AC" w:rsidRDefault="00000000">
      <w:pPr>
        <w:pStyle w:val="Heading1"/>
        <w:rPr>
          <w:color w:val="000000" w:themeColor="text1"/>
        </w:rPr>
      </w:pPr>
      <w:r w:rsidRPr="005A20AC">
        <w:rPr>
          <w:color w:val="000000" w:themeColor="text1"/>
        </w:rPr>
        <w:t>5. Oversight and Escalation</w:t>
      </w:r>
    </w:p>
    <w:p w14:paraId="64F02A27" w14:textId="77777777" w:rsidR="00B75042" w:rsidRPr="005A20AC" w:rsidRDefault="00000000">
      <w:pPr>
        <w:rPr>
          <w:color w:val="000000" w:themeColor="text1"/>
        </w:rPr>
      </w:pPr>
      <w:r w:rsidRPr="005A20AC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6C8E1100" w14:textId="77777777" w:rsidR="00B75042" w:rsidRPr="005A20AC" w:rsidRDefault="00000000">
      <w:pPr>
        <w:pStyle w:val="Heading1"/>
        <w:rPr>
          <w:color w:val="000000" w:themeColor="text1"/>
        </w:rPr>
      </w:pPr>
      <w:r w:rsidRPr="005A20AC">
        <w:rPr>
          <w:color w:val="000000" w:themeColor="text1"/>
        </w:rPr>
        <w:t>6. Document Maintenance</w:t>
      </w:r>
    </w:p>
    <w:p w14:paraId="212F305A" w14:textId="77777777" w:rsidR="00B75042" w:rsidRPr="005A20AC" w:rsidRDefault="00000000">
      <w:pPr>
        <w:rPr>
          <w:color w:val="000000" w:themeColor="text1"/>
        </w:rPr>
      </w:pPr>
      <w:r w:rsidRPr="005A20AC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2A5EB035" w14:textId="77777777" w:rsidR="00B75042" w:rsidRPr="005A20AC" w:rsidRDefault="00000000">
      <w:pPr>
        <w:pStyle w:val="Heading1"/>
        <w:rPr>
          <w:color w:val="000000" w:themeColor="text1"/>
        </w:rPr>
      </w:pPr>
      <w:r w:rsidRPr="005A20AC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B75042" w:rsidRPr="005A20AC" w14:paraId="23FA92B9" w14:textId="77777777">
        <w:tc>
          <w:tcPr>
            <w:tcW w:w="2160" w:type="dxa"/>
          </w:tcPr>
          <w:p w14:paraId="0D9AADFC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02115007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6D37C7D9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0FFACF97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Description</w:t>
            </w:r>
          </w:p>
        </w:tc>
      </w:tr>
      <w:tr w:rsidR="00B75042" w:rsidRPr="005A20AC" w14:paraId="352B647A" w14:textId="77777777">
        <w:tc>
          <w:tcPr>
            <w:tcW w:w="2160" w:type="dxa"/>
          </w:tcPr>
          <w:p w14:paraId="5EDB85E4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26AC6EFF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22-Sep-2026</w:t>
            </w:r>
          </w:p>
        </w:tc>
        <w:tc>
          <w:tcPr>
            <w:tcW w:w="2160" w:type="dxa"/>
          </w:tcPr>
          <w:p w14:paraId="402AE715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48EFDE2E" w14:textId="77777777" w:rsidR="00B75042" w:rsidRPr="005A20AC" w:rsidRDefault="00000000">
            <w:pPr>
              <w:rPr>
                <w:color w:val="000000" w:themeColor="text1"/>
              </w:rPr>
            </w:pPr>
            <w:r w:rsidRPr="005A20AC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5CBA6706" w14:textId="77777777" w:rsidR="00B75042" w:rsidRPr="005A20AC" w:rsidRDefault="00000000">
      <w:pPr>
        <w:rPr>
          <w:color w:val="000000" w:themeColor="text1"/>
        </w:rPr>
      </w:pPr>
      <w:r w:rsidRPr="005A20AC">
        <w:rPr>
          <w:b/>
          <w:color w:val="000000" w:themeColor="text1"/>
        </w:rPr>
        <w:t xml:space="preserve">TRAINING USE ONLY — </w:t>
      </w:r>
      <w:r w:rsidRPr="005A20AC">
        <w:rPr>
          <w:color w:val="000000" w:themeColor="text1"/>
        </w:rPr>
        <w:t>This document is fictional and is not a record from a real clinical trial.</w:t>
      </w:r>
    </w:p>
    <w:sectPr w:rsidR="00B75042" w:rsidRPr="005A20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705868">
    <w:abstractNumId w:val="8"/>
  </w:num>
  <w:num w:numId="2" w16cid:durableId="971440256">
    <w:abstractNumId w:val="6"/>
  </w:num>
  <w:num w:numId="3" w16cid:durableId="85736241">
    <w:abstractNumId w:val="5"/>
  </w:num>
  <w:num w:numId="4" w16cid:durableId="1917547045">
    <w:abstractNumId w:val="4"/>
  </w:num>
  <w:num w:numId="5" w16cid:durableId="1796407794">
    <w:abstractNumId w:val="7"/>
  </w:num>
  <w:num w:numId="6" w16cid:durableId="1688823374">
    <w:abstractNumId w:val="3"/>
  </w:num>
  <w:num w:numId="7" w16cid:durableId="71437592">
    <w:abstractNumId w:val="2"/>
  </w:num>
  <w:num w:numId="8" w16cid:durableId="763065681">
    <w:abstractNumId w:val="1"/>
  </w:num>
  <w:num w:numId="9" w16cid:durableId="20191898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33F0"/>
    <w:rsid w:val="005A20AC"/>
    <w:rsid w:val="00AA1D8D"/>
    <w:rsid w:val="00B47730"/>
    <w:rsid w:val="00B75042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E439341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2026-08-18T18:27:00Z</dcterms:created>
  <dcterms:modified xsi:type="dcterms:W3CDTF">2026-08-18T18:27:00Z</dcterms:modified>
  <cp:category/>
</cp:coreProperties>
</file>