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5AA308" w14:textId="77777777" w:rsidR="00462E2D" w:rsidRPr="00FA3CA5" w:rsidRDefault="00000000">
      <w:pPr>
        <w:jc w:val="center"/>
        <w:rPr>
          <w:color w:val="000000" w:themeColor="text1"/>
        </w:rPr>
      </w:pPr>
      <w:r w:rsidRPr="00FA3CA5">
        <w:rPr>
          <w:b/>
          <w:color w:val="000000" w:themeColor="text1"/>
          <w:sz w:val="36"/>
        </w:rPr>
        <w:t>INVESTIGATOR QUALIFICATION RECORD</w:t>
      </w:r>
    </w:p>
    <w:p w14:paraId="092D3271" w14:textId="77777777" w:rsidR="00462E2D" w:rsidRPr="00FA3CA5" w:rsidRDefault="00000000">
      <w:pPr>
        <w:jc w:val="center"/>
        <w:rPr>
          <w:color w:val="000000" w:themeColor="text1"/>
        </w:rPr>
      </w:pPr>
      <w:r w:rsidRPr="00FA3CA5">
        <w:rPr>
          <w:b/>
          <w:color w:val="000000" w:themeColor="text1"/>
          <w:sz w:val="26"/>
        </w:rPr>
        <w:t>IMM-2026-001</w:t>
      </w:r>
    </w:p>
    <w:p w14:paraId="25F4C5EF" w14:textId="77777777" w:rsidR="00462E2D" w:rsidRPr="00FA3CA5" w:rsidRDefault="00000000">
      <w:pPr>
        <w:jc w:val="center"/>
        <w:rPr>
          <w:color w:val="000000" w:themeColor="text1"/>
        </w:rPr>
      </w:pPr>
      <w:r w:rsidRPr="00FA3CA5">
        <w:rPr>
          <w:i/>
          <w:color w:val="000000" w:themeColor="text1"/>
        </w:rPr>
        <w:t>Version 1.0</w:t>
      </w:r>
    </w:p>
    <w:p w14:paraId="3A5A3419" w14:textId="77777777" w:rsidR="00462E2D" w:rsidRPr="00FA3CA5" w:rsidRDefault="00000000">
      <w:pPr>
        <w:pStyle w:val="Heading1"/>
        <w:rPr>
          <w:color w:val="000000" w:themeColor="text1"/>
        </w:rPr>
      </w:pPr>
      <w:r w:rsidRPr="00FA3CA5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62E2D" w:rsidRPr="00FA3CA5" w14:paraId="508F9171" w14:textId="77777777">
        <w:trPr>
          <w:jc w:val="center"/>
        </w:trPr>
        <w:tc>
          <w:tcPr>
            <w:tcW w:w="4320" w:type="dxa"/>
          </w:tcPr>
          <w:p w14:paraId="318D677E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8C82065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Investigator Qualification Record</w:t>
            </w:r>
          </w:p>
        </w:tc>
      </w:tr>
      <w:tr w:rsidR="00462E2D" w:rsidRPr="00FA3CA5" w14:paraId="173F2C40" w14:textId="77777777">
        <w:trPr>
          <w:jc w:val="center"/>
        </w:trPr>
        <w:tc>
          <w:tcPr>
            <w:tcW w:w="4320" w:type="dxa"/>
          </w:tcPr>
          <w:p w14:paraId="2ECB7238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4DE9A3D6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DOC-0029</w:t>
            </w:r>
          </w:p>
        </w:tc>
      </w:tr>
      <w:tr w:rsidR="00462E2D" w:rsidRPr="00FA3CA5" w14:paraId="43B0BAAB" w14:textId="77777777">
        <w:trPr>
          <w:jc w:val="center"/>
        </w:trPr>
        <w:tc>
          <w:tcPr>
            <w:tcW w:w="4320" w:type="dxa"/>
          </w:tcPr>
          <w:p w14:paraId="6D914F1E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A9510C1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01.03.04</w:t>
            </w:r>
          </w:p>
        </w:tc>
      </w:tr>
      <w:tr w:rsidR="00462E2D" w:rsidRPr="00FA3CA5" w14:paraId="643AB69C" w14:textId="77777777">
        <w:trPr>
          <w:jc w:val="center"/>
        </w:trPr>
        <w:tc>
          <w:tcPr>
            <w:tcW w:w="4320" w:type="dxa"/>
          </w:tcPr>
          <w:p w14:paraId="6DF60404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1204FBC0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IMM-2026-001</w:t>
            </w:r>
          </w:p>
        </w:tc>
      </w:tr>
      <w:tr w:rsidR="00462E2D" w:rsidRPr="00FA3CA5" w14:paraId="77C9FBA9" w14:textId="77777777">
        <w:trPr>
          <w:jc w:val="center"/>
        </w:trPr>
        <w:tc>
          <w:tcPr>
            <w:tcW w:w="4320" w:type="dxa"/>
          </w:tcPr>
          <w:p w14:paraId="3B7C71EA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302ADF6C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Fictional Pharma Ltd.</w:t>
            </w:r>
          </w:p>
        </w:tc>
      </w:tr>
      <w:tr w:rsidR="00462E2D" w:rsidRPr="00FA3CA5" w14:paraId="0BF19371" w14:textId="77777777">
        <w:trPr>
          <w:jc w:val="center"/>
        </w:trPr>
        <w:tc>
          <w:tcPr>
            <w:tcW w:w="4320" w:type="dxa"/>
          </w:tcPr>
          <w:p w14:paraId="1AC882E6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195278D0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Immunology / Allergy</w:t>
            </w:r>
          </w:p>
        </w:tc>
      </w:tr>
      <w:tr w:rsidR="00462E2D" w:rsidRPr="00FA3CA5" w14:paraId="2E1D1BA5" w14:textId="77777777">
        <w:trPr>
          <w:jc w:val="center"/>
        </w:trPr>
        <w:tc>
          <w:tcPr>
            <w:tcW w:w="4320" w:type="dxa"/>
          </w:tcPr>
          <w:p w14:paraId="4DB1FB4A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40022A49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Moderate-to-Severe Atopic Dermatitis</w:t>
            </w:r>
          </w:p>
        </w:tc>
      </w:tr>
      <w:tr w:rsidR="00462E2D" w:rsidRPr="00FA3CA5" w14:paraId="0F0A42C4" w14:textId="77777777">
        <w:trPr>
          <w:jc w:val="center"/>
        </w:trPr>
        <w:tc>
          <w:tcPr>
            <w:tcW w:w="4320" w:type="dxa"/>
          </w:tcPr>
          <w:p w14:paraId="2DBA5CB6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61838ECD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Phase II</w:t>
            </w:r>
          </w:p>
        </w:tc>
      </w:tr>
      <w:tr w:rsidR="00462E2D" w:rsidRPr="00FA3CA5" w14:paraId="17091CBE" w14:textId="77777777">
        <w:trPr>
          <w:jc w:val="center"/>
        </w:trPr>
        <w:tc>
          <w:tcPr>
            <w:tcW w:w="4320" w:type="dxa"/>
          </w:tcPr>
          <w:p w14:paraId="17B00916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57594717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Randomized, Double-Blind, Placebo-Controlled</w:t>
            </w:r>
          </w:p>
        </w:tc>
      </w:tr>
      <w:tr w:rsidR="00462E2D" w:rsidRPr="00FA3CA5" w14:paraId="4DBEEE95" w14:textId="77777777">
        <w:trPr>
          <w:jc w:val="center"/>
        </w:trPr>
        <w:tc>
          <w:tcPr>
            <w:tcW w:w="4320" w:type="dxa"/>
          </w:tcPr>
          <w:p w14:paraId="53A06144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AC0490A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IMM-101</w:t>
            </w:r>
          </w:p>
        </w:tc>
      </w:tr>
      <w:tr w:rsidR="00462E2D" w:rsidRPr="00FA3CA5" w14:paraId="4788778F" w14:textId="77777777">
        <w:trPr>
          <w:jc w:val="center"/>
        </w:trPr>
        <w:tc>
          <w:tcPr>
            <w:tcW w:w="4320" w:type="dxa"/>
          </w:tcPr>
          <w:p w14:paraId="30D39DD3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415A7D5F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Trial</w:t>
            </w:r>
          </w:p>
        </w:tc>
      </w:tr>
      <w:tr w:rsidR="00462E2D" w:rsidRPr="00FA3CA5" w14:paraId="37837345" w14:textId="77777777">
        <w:trPr>
          <w:jc w:val="center"/>
        </w:trPr>
        <w:tc>
          <w:tcPr>
            <w:tcW w:w="4320" w:type="dxa"/>
          </w:tcPr>
          <w:p w14:paraId="595F7ED1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F90F7E9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Global</w:t>
            </w:r>
          </w:p>
        </w:tc>
      </w:tr>
      <w:tr w:rsidR="00462E2D" w:rsidRPr="00FA3CA5" w14:paraId="70F487F8" w14:textId="77777777">
        <w:trPr>
          <w:jc w:val="center"/>
        </w:trPr>
        <w:tc>
          <w:tcPr>
            <w:tcW w:w="4320" w:type="dxa"/>
          </w:tcPr>
          <w:p w14:paraId="48E9FECC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3E0C50E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N/A</w:t>
            </w:r>
          </w:p>
        </w:tc>
      </w:tr>
      <w:tr w:rsidR="00462E2D" w:rsidRPr="00FA3CA5" w14:paraId="1C74E241" w14:textId="77777777">
        <w:trPr>
          <w:jc w:val="center"/>
        </w:trPr>
        <w:tc>
          <w:tcPr>
            <w:tcW w:w="4320" w:type="dxa"/>
          </w:tcPr>
          <w:p w14:paraId="701125C9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CE3710D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1.0</w:t>
            </w:r>
          </w:p>
        </w:tc>
      </w:tr>
      <w:tr w:rsidR="00462E2D" w:rsidRPr="00FA3CA5" w14:paraId="3EB252EF" w14:textId="77777777">
        <w:trPr>
          <w:jc w:val="center"/>
        </w:trPr>
        <w:tc>
          <w:tcPr>
            <w:tcW w:w="4320" w:type="dxa"/>
          </w:tcPr>
          <w:p w14:paraId="4B18ABFB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0C8AAA42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Effective</w:t>
            </w:r>
          </w:p>
        </w:tc>
      </w:tr>
      <w:tr w:rsidR="00462E2D" w:rsidRPr="00FA3CA5" w14:paraId="71385939" w14:textId="77777777">
        <w:trPr>
          <w:jc w:val="center"/>
        </w:trPr>
        <w:tc>
          <w:tcPr>
            <w:tcW w:w="4320" w:type="dxa"/>
          </w:tcPr>
          <w:p w14:paraId="5A247410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3857077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24-Sep-2026</w:t>
            </w:r>
          </w:p>
        </w:tc>
      </w:tr>
      <w:tr w:rsidR="00462E2D" w:rsidRPr="00FA3CA5" w14:paraId="4922B723" w14:textId="77777777">
        <w:trPr>
          <w:jc w:val="center"/>
        </w:trPr>
        <w:tc>
          <w:tcPr>
            <w:tcW w:w="4320" w:type="dxa"/>
          </w:tcPr>
          <w:p w14:paraId="19C3D14D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841388A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Clinical Operations</w:t>
            </w:r>
          </w:p>
        </w:tc>
      </w:tr>
    </w:tbl>
    <w:p w14:paraId="53D88B9C" w14:textId="77777777" w:rsidR="00462E2D" w:rsidRPr="00FA3CA5" w:rsidRDefault="00000000">
      <w:pPr>
        <w:pStyle w:val="Heading1"/>
        <w:rPr>
          <w:color w:val="000000" w:themeColor="text1"/>
        </w:rPr>
      </w:pPr>
      <w:r w:rsidRPr="00FA3CA5">
        <w:rPr>
          <w:color w:val="000000" w:themeColor="text1"/>
        </w:rPr>
        <w:t>1. Purpose</w:t>
      </w:r>
    </w:p>
    <w:p w14:paraId="3570CDF8" w14:textId="77777777" w:rsidR="00462E2D" w:rsidRPr="00FA3CA5" w:rsidRDefault="00000000">
      <w:pPr>
        <w:rPr>
          <w:color w:val="000000" w:themeColor="text1"/>
        </w:rPr>
      </w:pPr>
      <w:r w:rsidRPr="00FA3CA5">
        <w:rPr>
          <w:color w:val="000000" w:themeColor="text1"/>
        </w:rPr>
        <w:t>Documents the qualification assessment of an investigator, including relevant experience, qualifications, resources, training, and suitability for study responsibilities.</w:t>
      </w:r>
    </w:p>
    <w:p w14:paraId="439A64F5" w14:textId="77777777" w:rsidR="00462E2D" w:rsidRPr="00FA3CA5" w:rsidRDefault="00000000">
      <w:pPr>
        <w:pStyle w:val="Heading1"/>
        <w:rPr>
          <w:color w:val="000000" w:themeColor="text1"/>
        </w:rPr>
      </w:pPr>
      <w:r w:rsidRPr="00FA3CA5">
        <w:rPr>
          <w:color w:val="000000" w:themeColor="text1"/>
        </w:rPr>
        <w:t>2. Study Context</w:t>
      </w:r>
    </w:p>
    <w:p w14:paraId="151FD7E2" w14:textId="77777777" w:rsidR="00462E2D" w:rsidRPr="00FA3CA5" w:rsidRDefault="00000000">
      <w:pPr>
        <w:rPr>
          <w:color w:val="000000" w:themeColor="text1"/>
        </w:rPr>
      </w:pPr>
      <w:r w:rsidRPr="00FA3CA5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01A9BA85" w14:textId="77777777" w:rsidR="00462E2D" w:rsidRPr="00FA3CA5" w:rsidRDefault="00000000">
      <w:pPr>
        <w:pStyle w:val="Heading1"/>
        <w:rPr>
          <w:color w:val="000000" w:themeColor="text1"/>
        </w:rPr>
      </w:pPr>
      <w:r w:rsidRPr="00FA3CA5">
        <w:rPr>
          <w:color w:val="000000" w:themeColor="text1"/>
        </w:rPr>
        <w:t>3. Governance and Responsibilities</w:t>
      </w:r>
    </w:p>
    <w:p w14:paraId="67652361" w14:textId="77777777" w:rsidR="00462E2D" w:rsidRPr="00FA3CA5" w:rsidRDefault="00000000">
      <w:pPr>
        <w:rPr>
          <w:color w:val="000000" w:themeColor="text1"/>
        </w:rPr>
      </w:pPr>
      <w:r w:rsidRPr="00FA3CA5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2E0B40BE" w14:textId="77777777" w:rsidR="00462E2D" w:rsidRPr="00FA3CA5" w:rsidRDefault="00000000">
      <w:pPr>
        <w:pStyle w:val="Heading1"/>
        <w:rPr>
          <w:color w:val="000000" w:themeColor="text1"/>
        </w:rPr>
      </w:pPr>
      <w:r w:rsidRPr="00FA3CA5">
        <w:rPr>
          <w:color w:val="000000" w:themeColor="text1"/>
        </w:rPr>
        <w:lastRenderedPageBreak/>
        <w:t>4. Process Requirements</w:t>
      </w:r>
    </w:p>
    <w:p w14:paraId="00BF8BAC" w14:textId="77777777" w:rsidR="00462E2D" w:rsidRPr="00FA3CA5" w:rsidRDefault="00000000">
      <w:pPr>
        <w:rPr>
          <w:color w:val="000000" w:themeColor="text1"/>
        </w:rPr>
      </w:pPr>
      <w:r w:rsidRPr="00FA3CA5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4F5E065F" w14:textId="77777777" w:rsidR="00462E2D" w:rsidRPr="00FA3CA5" w:rsidRDefault="00000000">
      <w:pPr>
        <w:pStyle w:val="Heading1"/>
        <w:rPr>
          <w:color w:val="000000" w:themeColor="text1"/>
        </w:rPr>
      </w:pPr>
      <w:r w:rsidRPr="00FA3CA5">
        <w:rPr>
          <w:color w:val="000000" w:themeColor="text1"/>
        </w:rPr>
        <w:t>5. Oversight and Escalation</w:t>
      </w:r>
    </w:p>
    <w:p w14:paraId="65274FE4" w14:textId="77777777" w:rsidR="00462E2D" w:rsidRPr="00FA3CA5" w:rsidRDefault="00000000">
      <w:pPr>
        <w:rPr>
          <w:color w:val="000000" w:themeColor="text1"/>
        </w:rPr>
      </w:pPr>
      <w:r w:rsidRPr="00FA3CA5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3030B9EB" w14:textId="77777777" w:rsidR="00462E2D" w:rsidRPr="00FA3CA5" w:rsidRDefault="00000000">
      <w:pPr>
        <w:pStyle w:val="Heading1"/>
        <w:rPr>
          <w:color w:val="000000" w:themeColor="text1"/>
        </w:rPr>
      </w:pPr>
      <w:r w:rsidRPr="00FA3CA5">
        <w:rPr>
          <w:color w:val="000000" w:themeColor="text1"/>
        </w:rPr>
        <w:t>6. Document Maintenance</w:t>
      </w:r>
    </w:p>
    <w:p w14:paraId="585928E9" w14:textId="77777777" w:rsidR="00462E2D" w:rsidRPr="00FA3CA5" w:rsidRDefault="00000000">
      <w:pPr>
        <w:rPr>
          <w:color w:val="000000" w:themeColor="text1"/>
        </w:rPr>
      </w:pPr>
      <w:r w:rsidRPr="00FA3CA5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6F8369DA" w14:textId="77777777" w:rsidR="00462E2D" w:rsidRPr="00FA3CA5" w:rsidRDefault="00000000">
      <w:pPr>
        <w:pStyle w:val="Heading1"/>
        <w:rPr>
          <w:color w:val="000000" w:themeColor="text1"/>
        </w:rPr>
      </w:pPr>
      <w:r w:rsidRPr="00FA3CA5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462E2D" w:rsidRPr="00FA3CA5" w14:paraId="5AF34733" w14:textId="77777777">
        <w:tc>
          <w:tcPr>
            <w:tcW w:w="2160" w:type="dxa"/>
          </w:tcPr>
          <w:p w14:paraId="1F80D006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2BB94B60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E8D6981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2156C95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Description</w:t>
            </w:r>
          </w:p>
        </w:tc>
      </w:tr>
      <w:tr w:rsidR="00462E2D" w:rsidRPr="00FA3CA5" w14:paraId="17BDEB03" w14:textId="77777777">
        <w:tc>
          <w:tcPr>
            <w:tcW w:w="2160" w:type="dxa"/>
          </w:tcPr>
          <w:p w14:paraId="41FF5CC6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C96EB52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24-Sep-2026</w:t>
            </w:r>
          </w:p>
        </w:tc>
        <w:tc>
          <w:tcPr>
            <w:tcW w:w="2160" w:type="dxa"/>
          </w:tcPr>
          <w:p w14:paraId="44CEAF5C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482A3EF4" w14:textId="77777777" w:rsidR="00462E2D" w:rsidRPr="00FA3CA5" w:rsidRDefault="00000000">
            <w:pPr>
              <w:rPr>
                <w:color w:val="000000" w:themeColor="text1"/>
              </w:rPr>
            </w:pPr>
            <w:r w:rsidRPr="00FA3CA5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BED99CB" w14:textId="77777777" w:rsidR="00462E2D" w:rsidRPr="00FA3CA5" w:rsidRDefault="00000000">
      <w:pPr>
        <w:rPr>
          <w:color w:val="000000" w:themeColor="text1"/>
        </w:rPr>
      </w:pPr>
      <w:r w:rsidRPr="00FA3CA5">
        <w:rPr>
          <w:b/>
          <w:color w:val="000000" w:themeColor="text1"/>
        </w:rPr>
        <w:t xml:space="preserve">TRAINING USE ONLY — </w:t>
      </w:r>
      <w:r w:rsidRPr="00FA3CA5">
        <w:rPr>
          <w:color w:val="000000" w:themeColor="text1"/>
        </w:rPr>
        <w:t>This document is fictional and is not a record from a real clinical trial.</w:t>
      </w:r>
    </w:p>
    <w:sectPr w:rsidR="00462E2D" w:rsidRPr="00FA3C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618487">
    <w:abstractNumId w:val="8"/>
  </w:num>
  <w:num w:numId="2" w16cid:durableId="484316513">
    <w:abstractNumId w:val="6"/>
  </w:num>
  <w:num w:numId="3" w16cid:durableId="140535956">
    <w:abstractNumId w:val="5"/>
  </w:num>
  <w:num w:numId="4" w16cid:durableId="169299100">
    <w:abstractNumId w:val="4"/>
  </w:num>
  <w:num w:numId="5" w16cid:durableId="939873317">
    <w:abstractNumId w:val="7"/>
  </w:num>
  <w:num w:numId="6" w16cid:durableId="1818035441">
    <w:abstractNumId w:val="3"/>
  </w:num>
  <w:num w:numId="7" w16cid:durableId="801964651">
    <w:abstractNumId w:val="2"/>
  </w:num>
  <w:num w:numId="8" w16cid:durableId="18089531">
    <w:abstractNumId w:val="1"/>
  </w:num>
  <w:num w:numId="9" w16cid:durableId="685039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2E2D"/>
    <w:rsid w:val="00AA1D8D"/>
    <w:rsid w:val="00B47730"/>
    <w:rsid w:val="00CB0664"/>
    <w:rsid w:val="00D34426"/>
    <w:rsid w:val="00FA3C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C28D1B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2026-08-18T18:26:00Z</dcterms:created>
  <dcterms:modified xsi:type="dcterms:W3CDTF">2026-08-18T18:26:00Z</dcterms:modified>
  <cp:category/>
</cp:coreProperties>
</file>