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B22A34" w14:textId="77777777" w:rsidR="004871A3" w:rsidRPr="00624E3D" w:rsidRDefault="00000000">
      <w:pPr>
        <w:jc w:val="center"/>
        <w:rPr>
          <w:color w:val="000000" w:themeColor="text1"/>
        </w:rPr>
      </w:pPr>
      <w:r w:rsidRPr="00624E3D">
        <w:rPr>
          <w:b/>
          <w:color w:val="000000" w:themeColor="text1"/>
          <w:sz w:val="36"/>
        </w:rPr>
        <w:t>SITE ACTIVATION CHECKLIST</w:t>
      </w:r>
    </w:p>
    <w:p w14:paraId="3009EA8D" w14:textId="77777777" w:rsidR="004871A3" w:rsidRPr="00624E3D" w:rsidRDefault="00000000">
      <w:pPr>
        <w:jc w:val="center"/>
        <w:rPr>
          <w:color w:val="000000" w:themeColor="text1"/>
        </w:rPr>
      </w:pPr>
      <w:r w:rsidRPr="00624E3D">
        <w:rPr>
          <w:b/>
          <w:color w:val="000000" w:themeColor="text1"/>
          <w:sz w:val="26"/>
        </w:rPr>
        <w:t>IMM-2026-001</w:t>
      </w:r>
    </w:p>
    <w:p w14:paraId="0777FF03" w14:textId="77777777" w:rsidR="004871A3" w:rsidRPr="00624E3D" w:rsidRDefault="00000000">
      <w:pPr>
        <w:jc w:val="center"/>
        <w:rPr>
          <w:color w:val="000000" w:themeColor="text1"/>
        </w:rPr>
      </w:pPr>
      <w:r w:rsidRPr="00624E3D">
        <w:rPr>
          <w:i/>
          <w:color w:val="000000" w:themeColor="text1"/>
        </w:rPr>
        <w:t>Version 1.0</w:t>
      </w:r>
    </w:p>
    <w:p w14:paraId="217EDD20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871A3" w:rsidRPr="00624E3D" w14:paraId="5671385A" w14:textId="77777777">
        <w:trPr>
          <w:jc w:val="center"/>
        </w:trPr>
        <w:tc>
          <w:tcPr>
            <w:tcW w:w="4320" w:type="dxa"/>
          </w:tcPr>
          <w:p w14:paraId="1AF5CF99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329D22F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Site Activation Checklist</w:t>
            </w:r>
          </w:p>
        </w:tc>
      </w:tr>
      <w:tr w:rsidR="004871A3" w:rsidRPr="00624E3D" w14:paraId="35776FB8" w14:textId="77777777">
        <w:trPr>
          <w:jc w:val="center"/>
        </w:trPr>
        <w:tc>
          <w:tcPr>
            <w:tcW w:w="4320" w:type="dxa"/>
          </w:tcPr>
          <w:p w14:paraId="508BC862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D9342D4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DOC-0031</w:t>
            </w:r>
          </w:p>
        </w:tc>
      </w:tr>
      <w:tr w:rsidR="004871A3" w:rsidRPr="00624E3D" w14:paraId="7EC7508E" w14:textId="77777777">
        <w:trPr>
          <w:jc w:val="center"/>
        </w:trPr>
        <w:tc>
          <w:tcPr>
            <w:tcW w:w="4320" w:type="dxa"/>
          </w:tcPr>
          <w:p w14:paraId="4205C23B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1F929D9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01.03.06</w:t>
            </w:r>
          </w:p>
        </w:tc>
      </w:tr>
      <w:tr w:rsidR="004871A3" w:rsidRPr="00624E3D" w14:paraId="79431A98" w14:textId="77777777">
        <w:trPr>
          <w:jc w:val="center"/>
        </w:trPr>
        <w:tc>
          <w:tcPr>
            <w:tcW w:w="4320" w:type="dxa"/>
          </w:tcPr>
          <w:p w14:paraId="3F6A58FD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DE4B00F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IMM-2026-001</w:t>
            </w:r>
          </w:p>
        </w:tc>
      </w:tr>
      <w:tr w:rsidR="004871A3" w:rsidRPr="00624E3D" w14:paraId="2D9B78C2" w14:textId="77777777">
        <w:trPr>
          <w:jc w:val="center"/>
        </w:trPr>
        <w:tc>
          <w:tcPr>
            <w:tcW w:w="4320" w:type="dxa"/>
          </w:tcPr>
          <w:p w14:paraId="1E602FAF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B1206CB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Fictional Pharma Ltd.</w:t>
            </w:r>
          </w:p>
        </w:tc>
      </w:tr>
      <w:tr w:rsidR="004871A3" w:rsidRPr="00624E3D" w14:paraId="5CB74B85" w14:textId="77777777">
        <w:trPr>
          <w:jc w:val="center"/>
        </w:trPr>
        <w:tc>
          <w:tcPr>
            <w:tcW w:w="4320" w:type="dxa"/>
          </w:tcPr>
          <w:p w14:paraId="40746A3E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D1C961A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Immunology / Allergy</w:t>
            </w:r>
          </w:p>
        </w:tc>
      </w:tr>
      <w:tr w:rsidR="004871A3" w:rsidRPr="00624E3D" w14:paraId="2F70FCA1" w14:textId="77777777">
        <w:trPr>
          <w:jc w:val="center"/>
        </w:trPr>
        <w:tc>
          <w:tcPr>
            <w:tcW w:w="4320" w:type="dxa"/>
          </w:tcPr>
          <w:p w14:paraId="7ED9129E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8AC276A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Moderate-to-Severe Atopic Dermatitis</w:t>
            </w:r>
          </w:p>
        </w:tc>
      </w:tr>
      <w:tr w:rsidR="004871A3" w:rsidRPr="00624E3D" w14:paraId="7B2341EC" w14:textId="77777777">
        <w:trPr>
          <w:jc w:val="center"/>
        </w:trPr>
        <w:tc>
          <w:tcPr>
            <w:tcW w:w="4320" w:type="dxa"/>
          </w:tcPr>
          <w:p w14:paraId="1C986E47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ECB5FB4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Phase II</w:t>
            </w:r>
          </w:p>
        </w:tc>
      </w:tr>
      <w:tr w:rsidR="004871A3" w:rsidRPr="00624E3D" w14:paraId="3216FBAD" w14:textId="77777777">
        <w:trPr>
          <w:jc w:val="center"/>
        </w:trPr>
        <w:tc>
          <w:tcPr>
            <w:tcW w:w="4320" w:type="dxa"/>
          </w:tcPr>
          <w:p w14:paraId="12A4EA28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BB7B7E7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Randomized, Double-Blind, Placebo-Controlled</w:t>
            </w:r>
          </w:p>
        </w:tc>
      </w:tr>
      <w:tr w:rsidR="004871A3" w:rsidRPr="00624E3D" w14:paraId="74A6D184" w14:textId="77777777">
        <w:trPr>
          <w:jc w:val="center"/>
        </w:trPr>
        <w:tc>
          <w:tcPr>
            <w:tcW w:w="4320" w:type="dxa"/>
          </w:tcPr>
          <w:p w14:paraId="36C1DEC2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68B9A2F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IMM-101</w:t>
            </w:r>
          </w:p>
        </w:tc>
      </w:tr>
      <w:tr w:rsidR="004871A3" w:rsidRPr="00624E3D" w14:paraId="22BDAF93" w14:textId="77777777">
        <w:trPr>
          <w:jc w:val="center"/>
        </w:trPr>
        <w:tc>
          <w:tcPr>
            <w:tcW w:w="4320" w:type="dxa"/>
          </w:tcPr>
          <w:p w14:paraId="3EC0A9FE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046447A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Trial</w:t>
            </w:r>
          </w:p>
        </w:tc>
      </w:tr>
      <w:tr w:rsidR="004871A3" w:rsidRPr="00624E3D" w14:paraId="22A00126" w14:textId="77777777">
        <w:trPr>
          <w:jc w:val="center"/>
        </w:trPr>
        <w:tc>
          <w:tcPr>
            <w:tcW w:w="4320" w:type="dxa"/>
          </w:tcPr>
          <w:p w14:paraId="6205572B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1EE00C4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Global</w:t>
            </w:r>
          </w:p>
        </w:tc>
      </w:tr>
      <w:tr w:rsidR="004871A3" w:rsidRPr="00624E3D" w14:paraId="1F00B1DA" w14:textId="77777777">
        <w:trPr>
          <w:jc w:val="center"/>
        </w:trPr>
        <w:tc>
          <w:tcPr>
            <w:tcW w:w="4320" w:type="dxa"/>
          </w:tcPr>
          <w:p w14:paraId="6F58CD25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CC2FA14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N/A</w:t>
            </w:r>
          </w:p>
        </w:tc>
      </w:tr>
      <w:tr w:rsidR="004871A3" w:rsidRPr="00624E3D" w14:paraId="6AF2DD73" w14:textId="77777777">
        <w:trPr>
          <w:jc w:val="center"/>
        </w:trPr>
        <w:tc>
          <w:tcPr>
            <w:tcW w:w="4320" w:type="dxa"/>
          </w:tcPr>
          <w:p w14:paraId="78B3B0D7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0940E3C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1.0</w:t>
            </w:r>
          </w:p>
        </w:tc>
      </w:tr>
      <w:tr w:rsidR="004871A3" w:rsidRPr="00624E3D" w14:paraId="6F888BFC" w14:textId="77777777">
        <w:trPr>
          <w:jc w:val="center"/>
        </w:trPr>
        <w:tc>
          <w:tcPr>
            <w:tcW w:w="4320" w:type="dxa"/>
          </w:tcPr>
          <w:p w14:paraId="022673D3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8362079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Effective</w:t>
            </w:r>
          </w:p>
        </w:tc>
      </w:tr>
      <w:tr w:rsidR="004871A3" w:rsidRPr="00624E3D" w14:paraId="3D3E883C" w14:textId="77777777">
        <w:trPr>
          <w:jc w:val="center"/>
        </w:trPr>
        <w:tc>
          <w:tcPr>
            <w:tcW w:w="4320" w:type="dxa"/>
          </w:tcPr>
          <w:p w14:paraId="646F4512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BB9AD6A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28-Sep-2026</w:t>
            </w:r>
          </w:p>
        </w:tc>
      </w:tr>
      <w:tr w:rsidR="004871A3" w:rsidRPr="00624E3D" w14:paraId="7043DADA" w14:textId="77777777">
        <w:trPr>
          <w:jc w:val="center"/>
        </w:trPr>
        <w:tc>
          <w:tcPr>
            <w:tcW w:w="4320" w:type="dxa"/>
          </w:tcPr>
          <w:p w14:paraId="22FD3FA3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87F21E2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Clinical Operations</w:t>
            </w:r>
          </w:p>
        </w:tc>
      </w:tr>
    </w:tbl>
    <w:p w14:paraId="762FD1C8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1. Purpose</w:t>
      </w:r>
    </w:p>
    <w:p w14:paraId="238FD7C6" w14:textId="77777777" w:rsidR="004871A3" w:rsidRPr="00624E3D" w:rsidRDefault="00000000">
      <w:pPr>
        <w:rPr>
          <w:color w:val="000000" w:themeColor="text1"/>
        </w:rPr>
      </w:pPr>
      <w:r w:rsidRPr="00624E3D">
        <w:rPr>
          <w:color w:val="000000" w:themeColor="text1"/>
        </w:rPr>
        <w:t>Defines the prerequisites and controlled checklist for confirming that a clinical site is ready for activation.</w:t>
      </w:r>
    </w:p>
    <w:p w14:paraId="605592FB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2. Study Context</w:t>
      </w:r>
    </w:p>
    <w:p w14:paraId="4DF48F09" w14:textId="77777777" w:rsidR="004871A3" w:rsidRPr="00624E3D" w:rsidRDefault="00000000">
      <w:pPr>
        <w:rPr>
          <w:color w:val="000000" w:themeColor="text1"/>
        </w:rPr>
      </w:pPr>
      <w:r w:rsidRPr="00624E3D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3A201CAB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3. Governance and Responsibilities</w:t>
      </w:r>
    </w:p>
    <w:p w14:paraId="7CF8A223" w14:textId="77777777" w:rsidR="004871A3" w:rsidRPr="00624E3D" w:rsidRDefault="00000000">
      <w:pPr>
        <w:rPr>
          <w:color w:val="000000" w:themeColor="text1"/>
        </w:rPr>
      </w:pPr>
      <w:r w:rsidRPr="00624E3D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97106A2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lastRenderedPageBreak/>
        <w:t>4. Process Requirements</w:t>
      </w:r>
    </w:p>
    <w:p w14:paraId="301860AD" w14:textId="77777777" w:rsidR="004871A3" w:rsidRPr="00624E3D" w:rsidRDefault="00000000">
      <w:pPr>
        <w:rPr>
          <w:color w:val="000000" w:themeColor="text1"/>
        </w:rPr>
      </w:pPr>
      <w:r w:rsidRPr="00624E3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32418EF0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5. Oversight and Escalation</w:t>
      </w:r>
    </w:p>
    <w:p w14:paraId="1815489C" w14:textId="77777777" w:rsidR="004871A3" w:rsidRPr="00624E3D" w:rsidRDefault="00000000">
      <w:pPr>
        <w:rPr>
          <w:color w:val="000000" w:themeColor="text1"/>
        </w:rPr>
      </w:pPr>
      <w:r w:rsidRPr="00624E3D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038F3DBA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6. Document Maintenance</w:t>
      </w:r>
    </w:p>
    <w:p w14:paraId="293FACC3" w14:textId="77777777" w:rsidR="004871A3" w:rsidRPr="00624E3D" w:rsidRDefault="00000000">
      <w:pPr>
        <w:rPr>
          <w:color w:val="000000" w:themeColor="text1"/>
        </w:rPr>
      </w:pPr>
      <w:r w:rsidRPr="00624E3D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0AD3846B" w14:textId="77777777" w:rsidR="004871A3" w:rsidRPr="00624E3D" w:rsidRDefault="00000000">
      <w:pPr>
        <w:pStyle w:val="Heading1"/>
        <w:rPr>
          <w:color w:val="000000" w:themeColor="text1"/>
        </w:rPr>
      </w:pPr>
      <w:r w:rsidRPr="00624E3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871A3" w:rsidRPr="00624E3D" w14:paraId="298905E9" w14:textId="77777777">
        <w:tc>
          <w:tcPr>
            <w:tcW w:w="2160" w:type="dxa"/>
          </w:tcPr>
          <w:p w14:paraId="6F8BAC99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C695E78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15A0938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6208B34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Description</w:t>
            </w:r>
          </w:p>
        </w:tc>
      </w:tr>
      <w:tr w:rsidR="004871A3" w:rsidRPr="00624E3D" w14:paraId="3CAD585D" w14:textId="77777777">
        <w:tc>
          <w:tcPr>
            <w:tcW w:w="2160" w:type="dxa"/>
          </w:tcPr>
          <w:p w14:paraId="08B48215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FEF0938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28-Sep-2026</w:t>
            </w:r>
          </w:p>
        </w:tc>
        <w:tc>
          <w:tcPr>
            <w:tcW w:w="2160" w:type="dxa"/>
          </w:tcPr>
          <w:p w14:paraId="6041558D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57BE281" w14:textId="77777777" w:rsidR="004871A3" w:rsidRPr="00624E3D" w:rsidRDefault="00000000">
            <w:pPr>
              <w:rPr>
                <w:color w:val="000000" w:themeColor="text1"/>
              </w:rPr>
            </w:pPr>
            <w:r w:rsidRPr="00624E3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123B808" w14:textId="77777777" w:rsidR="004871A3" w:rsidRPr="00624E3D" w:rsidRDefault="00000000">
      <w:pPr>
        <w:rPr>
          <w:color w:val="000000" w:themeColor="text1"/>
        </w:rPr>
      </w:pPr>
      <w:r w:rsidRPr="00624E3D">
        <w:rPr>
          <w:b/>
          <w:color w:val="000000" w:themeColor="text1"/>
        </w:rPr>
        <w:t xml:space="preserve">TRAINING USE ONLY — </w:t>
      </w:r>
      <w:r w:rsidRPr="00624E3D">
        <w:rPr>
          <w:color w:val="000000" w:themeColor="text1"/>
        </w:rPr>
        <w:t>This document is fictional and is not a record from a real clinical trial.</w:t>
      </w:r>
    </w:p>
    <w:sectPr w:rsidR="004871A3" w:rsidRPr="00624E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507599">
    <w:abstractNumId w:val="8"/>
  </w:num>
  <w:num w:numId="2" w16cid:durableId="1931312693">
    <w:abstractNumId w:val="6"/>
  </w:num>
  <w:num w:numId="3" w16cid:durableId="410200912">
    <w:abstractNumId w:val="5"/>
  </w:num>
  <w:num w:numId="4" w16cid:durableId="63844262">
    <w:abstractNumId w:val="4"/>
  </w:num>
  <w:num w:numId="5" w16cid:durableId="640814048">
    <w:abstractNumId w:val="7"/>
  </w:num>
  <w:num w:numId="6" w16cid:durableId="75641159">
    <w:abstractNumId w:val="3"/>
  </w:num>
  <w:num w:numId="7" w16cid:durableId="417412319">
    <w:abstractNumId w:val="2"/>
  </w:num>
  <w:num w:numId="8" w16cid:durableId="1506092345">
    <w:abstractNumId w:val="1"/>
  </w:num>
  <w:num w:numId="9" w16cid:durableId="10630189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71A3"/>
    <w:rsid w:val="00624E3D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62DD1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2026-08-18T18:29:00Z</dcterms:created>
  <dcterms:modified xsi:type="dcterms:W3CDTF">2026-08-18T18:29:00Z</dcterms:modified>
  <cp:category/>
</cp:coreProperties>
</file>