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1E629A" w14:textId="77777777" w:rsidR="005B2C54" w:rsidRPr="00A81CE7" w:rsidRDefault="00000000">
      <w:pPr>
        <w:jc w:val="center"/>
        <w:rPr>
          <w:color w:val="000000" w:themeColor="text1"/>
        </w:rPr>
      </w:pPr>
      <w:r w:rsidRPr="00A81CE7">
        <w:rPr>
          <w:b/>
          <w:color w:val="000000" w:themeColor="text1"/>
          <w:sz w:val="36"/>
        </w:rPr>
        <w:t>CLINICAL TRIAL REGISTRATION RECORD</w:t>
      </w:r>
    </w:p>
    <w:p w14:paraId="0BB988C3" w14:textId="77777777" w:rsidR="005B2C54" w:rsidRPr="00A81CE7" w:rsidRDefault="00000000">
      <w:pPr>
        <w:jc w:val="center"/>
        <w:rPr>
          <w:color w:val="000000" w:themeColor="text1"/>
        </w:rPr>
      </w:pPr>
      <w:r w:rsidRPr="00A81CE7">
        <w:rPr>
          <w:b/>
          <w:color w:val="000000" w:themeColor="text1"/>
          <w:sz w:val="26"/>
        </w:rPr>
        <w:t>IMM-2026-001</w:t>
      </w:r>
    </w:p>
    <w:p w14:paraId="67C05A02" w14:textId="77777777" w:rsidR="005B2C54" w:rsidRPr="00A81CE7" w:rsidRDefault="00000000">
      <w:pPr>
        <w:jc w:val="center"/>
        <w:rPr>
          <w:color w:val="000000" w:themeColor="text1"/>
        </w:rPr>
      </w:pPr>
      <w:r w:rsidRPr="00A81CE7">
        <w:rPr>
          <w:i/>
          <w:color w:val="000000" w:themeColor="text1"/>
        </w:rPr>
        <w:t>Version 1.0</w:t>
      </w:r>
    </w:p>
    <w:p w14:paraId="5949EF45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B2C54" w:rsidRPr="00A81CE7" w14:paraId="78A5ABDE" w14:textId="77777777">
        <w:trPr>
          <w:jc w:val="center"/>
        </w:trPr>
        <w:tc>
          <w:tcPr>
            <w:tcW w:w="4320" w:type="dxa"/>
          </w:tcPr>
          <w:p w14:paraId="046CFD2A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438F897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Clinical Trial Registration Record</w:t>
            </w:r>
          </w:p>
        </w:tc>
      </w:tr>
      <w:tr w:rsidR="005B2C54" w:rsidRPr="00A81CE7" w14:paraId="20E36D35" w14:textId="77777777">
        <w:trPr>
          <w:jc w:val="center"/>
        </w:trPr>
        <w:tc>
          <w:tcPr>
            <w:tcW w:w="4320" w:type="dxa"/>
          </w:tcPr>
          <w:p w14:paraId="06BF5CE3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65B1FE4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DOC-0045</w:t>
            </w:r>
          </w:p>
        </w:tc>
      </w:tr>
      <w:tr w:rsidR="005B2C54" w:rsidRPr="00A81CE7" w14:paraId="14E52F87" w14:textId="77777777">
        <w:trPr>
          <w:jc w:val="center"/>
        </w:trPr>
        <w:tc>
          <w:tcPr>
            <w:tcW w:w="4320" w:type="dxa"/>
          </w:tcPr>
          <w:p w14:paraId="4FE15C00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3934C5C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02.01.05</w:t>
            </w:r>
          </w:p>
        </w:tc>
      </w:tr>
      <w:tr w:rsidR="005B2C54" w:rsidRPr="00A81CE7" w14:paraId="6BB30553" w14:textId="77777777">
        <w:trPr>
          <w:jc w:val="center"/>
        </w:trPr>
        <w:tc>
          <w:tcPr>
            <w:tcW w:w="4320" w:type="dxa"/>
          </w:tcPr>
          <w:p w14:paraId="375D1A2C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9C1D272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IMM-2026-001</w:t>
            </w:r>
          </w:p>
        </w:tc>
      </w:tr>
      <w:tr w:rsidR="005B2C54" w:rsidRPr="00A81CE7" w14:paraId="4468E539" w14:textId="77777777">
        <w:trPr>
          <w:jc w:val="center"/>
        </w:trPr>
        <w:tc>
          <w:tcPr>
            <w:tcW w:w="4320" w:type="dxa"/>
          </w:tcPr>
          <w:p w14:paraId="4DE03DE8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EB3D7C1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Fictional Pharma Ltd.</w:t>
            </w:r>
          </w:p>
        </w:tc>
      </w:tr>
      <w:tr w:rsidR="005B2C54" w:rsidRPr="00A81CE7" w14:paraId="31121BED" w14:textId="77777777">
        <w:trPr>
          <w:jc w:val="center"/>
        </w:trPr>
        <w:tc>
          <w:tcPr>
            <w:tcW w:w="4320" w:type="dxa"/>
          </w:tcPr>
          <w:p w14:paraId="072E9AF2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1FAE439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Immunology / Allergy</w:t>
            </w:r>
          </w:p>
        </w:tc>
      </w:tr>
      <w:tr w:rsidR="005B2C54" w:rsidRPr="00A81CE7" w14:paraId="473A08E1" w14:textId="77777777">
        <w:trPr>
          <w:jc w:val="center"/>
        </w:trPr>
        <w:tc>
          <w:tcPr>
            <w:tcW w:w="4320" w:type="dxa"/>
          </w:tcPr>
          <w:p w14:paraId="1EC615F0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0444C90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Moderate-to-Severe Atopic Dermatitis</w:t>
            </w:r>
          </w:p>
        </w:tc>
      </w:tr>
      <w:tr w:rsidR="005B2C54" w:rsidRPr="00A81CE7" w14:paraId="0C5192EB" w14:textId="77777777">
        <w:trPr>
          <w:jc w:val="center"/>
        </w:trPr>
        <w:tc>
          <w:tcPr>
            <w:tcW w:w="4320" w:type="dxa"/>
          </w:tcPr>
          <w:p w14:paraId="18736E0B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F51485B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Phase II</w:t>
            </w:r>
          </w:p>
        </w:tc>
      </w:tr>
      <w:tr w:rsidR="005B2C54" w:rsidRPr="00A81CE7" w14:paraId="769FF36D" w14:textId="77777777">
        <w:trPr>
          <w:jc w:val="center"/>
        </w:trPr>
        <w:tc>
          <w:tcPr>
            <w:tcW w:w="4320" w:type="dxa"/>
          </w:tcPr>
          <w:p w14:paraId="307DFC44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C438DB3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Randomized, Double-Blind, Placebo-Controlled</w:t>
            </w:r>
          </w:p>
        </w:tc>
      </w:tr>
      <w:tr w:rsidR="005B2C54" w:rsidRPr="00A81CE7" w14:paraId="45D3BD95" w14:textId="77777777">
        <w:trPr>
          <w:jc w:val="center"/>
        </w:trPr>
        <w:tc>
          <w:tcPr>
            <w:tcW w:w="4320" w:type="dxa"/>
          </w:tcPr>
          <w:p w14:paraId="714A8FE9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47FCC76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IMM-101</w:t>
            </w:r>
          </w:p>
        </w:tc>
      </w:tr>
      <w:tr w:rsidR="005B2C54" w:rsidRPr="00A81CE7" w14:paraId="1023DE75" w14:textId="77777777">
        <w:trPr>
          <w:jc w:val="center"/>
        </w:trPr>
        <w:tc>
          <w:tcPr>
            <w:tcW w:w="4320" w:type="dxa"/>
          </w:tcPr>
          <w:p w14:paraId="671CDA7D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8F6D3B0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Trial</w:t>
            </w:r>
          </w:p>
        </w:tc>
      </w:tr>
      <w:tr w:rsidR="005B2C54" w:rsidRPr="00A81CE7" w14:paraId="60436133" w14:textId="77777777">
        <w:trPr>
          <w:jc w:val="center"/>
        </w:trPr>
        <w:tc>
          <w:tcPr>
            <w:tcW w:w="4320" w:type="dxa"/>
          </w:tcPr>
          <w:p w14:paraId="4B19E7F9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BE52183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Global</w:t>
            </w:r>
          </w:p>
        </w:tc>
      </w:tr>
      <w:tr w:rsidR="005B2C54" w:rsidRPr="00A81CE7" w14:paraId="59D566E4" w14:textId="77777777">
        <w:trPr>
          <w:jc w:val="center"/>
        </w:trPr>
        <w:tc>
          <w:tcPr>
            <w:tcW w:w="4320" w:type="dxa"/>
          </w:tcPr>
          <w:p w14:paraId="13F4CDBA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1851723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N/A</w:t>
            </w:r>
          </w:p>
        </w:tc>
      </w:tr>
      <w:tr w:rsidR="005B2C54" w:rsidRPr="00A81CE7" w14:paraId="12487B1C" w14:textId="77777777">
        <w:trPr>
          <w:jc w:val="center"/>
        </w:trPr>
        <w:tc>
          <w:tcPr>
            <w:tcW w:w="4320" w:type="dxa"/>
          </w:tcPr>
          <w:p w14:paraId="6AD9161D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53235D9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1.0</w:t>
            </w:r>
          </w:p>
        </w:tc>
      </w:tr>
      <w:tr w:rsidR="005B2C54" w:rsidRPr="00A81CE7" w14:paraId="4FA1D703" w14:textId="77777777">
        <w:trPr>
          <w:jc w:val="center"/>
        </w:trPr>
        <w:tc>
          <w:tcPr>
            <w:tcW w:w="4320" w:type="dxa"/>
          </w:tcPr>
          <w:p w14:paraId="01A79A45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5D60C48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Effective</w:t>
            </w:r>
          </w:p>
        </w:tc>
      </w:tr>
      <w:tr w:rsidR="005B2C54" w:rsidRPr="00A81CE7" w14:paraId="7AAE02D1" w14:textId="77777777">
        <w:trPr>
          <w:jc w:val="center"/>
        </w:trPr>
        <w:tc>
          <w:tcPr>
            <w:tcW w:w="4320" w:type="dxa"/>
          </w:tcPr>
          <w:p w14:paraId="0EC25D8E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18BC915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05-Nov-2026</w:t>
            </w:r>
          </w:p>
        </w:tc>
      </w:tr>
      <w:tr w:rsidR="005B2C54" w:rsidRPr="00A81CE7" w14:paraId="356A2D7C" w14:textId="77777777">
        <w:trPr>
          <w:jc w:val="center"/>
        </w:trPr>
        <w:tc>
          <w:tcPr>
            <w:tcW w:w="4320" w:type="dxa"/>
          </w:tcPr>
          <w:p w14:paraId="00AF041D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53D8D7F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Regulatory Affairs</w:t>
            </w:r>
          </w:p>
        </w:tc>
      </w:tr>
    </w:tbl>
    <w:p w14:paraId="455FC603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1. Purpose</w:t>
      </w:r>
    </w:p>
    <w:p w14:paraId="063C4460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Documents the study registration information and controlled record of key public registration details for the fictional study.</w:t>
      </w:r>
    </w:p>
    <w:p w14:paraId="5117BDD6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2. Study Context</w:t>
      </w:r>
    </w:p>
    <w:p w14:paraId="16DAA5F8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5D1DCBCC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3. Governance and Responsibilities</w:t>
      </w:r>
    </w:p>
    <w:p w14:paraId="5B202D7F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7C7E398C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lastRenderedPageBreak/>
        <w:t>4. Process Requirements</w:t>
      </w:r>
    </w:p>
    <w:p w14:paraId="1172BCF4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9C79150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5. Oversight and Escalation</w:t>
      </w:r>
    </w:p>
    <w:p w14:paraId="781E9E7F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49B378AE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6. Document Maintenance</w:t>
      </w:r>
    </w:p>
    <w:p w14:paraId="05297F82" w14:textId="77777777" w:rsidR="005B2C54" w:rsidRPr="00A81CE7" w:rsidRDefault="00000000">
      <w:pPr>
        <w:rPr>
          <w:color w:val="000000" w:themeColor="text1"/>
        </w:rPr>
      </w:pPr>
      <w:r w:rsidRPr="00A81CE7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40D5EF7" w14:textId="77777777" w:rsidR="005B2C54" w:rsidRPr="00A81CE7" w:rsidRDefault="00000000">
      <w:pPr>
        <w:pStyle w:val="Heading1"/>
        <w:rPr>
          <w:color w:val="000000" w:themeColor="text1"/>
        </w:rPr>
      </w:pPr>
      <w:r w:rsidRPr="00A81CE7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B2C54" w:rsidRPr="00A81CE7" w14:paraId="50BD0B16" w14:textId="77777777">
        <w:tc>
          <w:tcPr>
            <w:tcW w:w="2160" w:type="dxa"/>
          </w:tcPr>
          <w:p w14:paraId="3001012C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196CDDA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163E802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0C856F6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Description</w:t>
            </w:r>
          </w:p>
        </w:tc>
      </w:tr>
      <w:tr w:rsidR="005B2C54" w:rsidRPr="00A81CE7" w14:paraId="0A28F6AD" w14:textId="77777777">
        <w:tc>
          <w:tcPr>
            <w:tcW w:w="2160" w:type="dxa"/>
          </w:tcPr>
          <w:p w14:paraId="7F5F29A0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0CCC8C7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05-Nov-2026</w:t>
            </w:r>
          </w:p>
        </w:tc>
        <w:tc>
          <w:tcPr>
            <w:tcW w:w="2160" w:type="dxa"/>
          </w:tcPr>
          <w:p w14:paraId="4B3F321D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527268BD" w14:textId="77777777" w:rsidR="005B2C54" w:rsidRPr="00A81CE7" w:rsidRDefault="00000000">
            <w:pPr>
              <w:rPr>
                <w:color w:val="000000" w:themeColor="text1"/>
              </w:rPr>
            </w:pPr>
            <w:r w:rsidRPr="00A81CE7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08C006B" w14:textId="77777777" w:rsidR="005B2C54" w:rsidRPr="00A81CE7" w:rsidRDefault="00000000">
      <w:pPr>
        <w:rPr>
          <w:color w:val="000000" w:themeColor="text1"/>
        </w:rPr>
      </w:pPr>
      <w:r w:rsidRPr="00A81CE7">
        <w:rPr>
          <w:b/>
          <w:color w:val="000000" w:themeColor="text1"/>
        </w:rPr>
        <w:t xml:space="preserve">TRAINING USE ONLY — </w:t>
      </w:r>
      <w:r w:rsidRPr="00A81CE7">
        <w:rPr>
          <w:color w:val="000000" w:themeColor="text1"/>
        </w:rPr>
        <w:t>This document is fictional and is not a record from a real clinical trial.</w:t>
      </w:r>
    </w:p>
    <w:sectPr w:rsidR="005B2C54" w:rsidRPr="00A81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909696">
    <w:abstractNumId w:val="8"/>
  </w:num>
  <w:num w:numId="2" w16cid:durableId="898788020">
    <w:abstractNumId w:val="6"/>
  </w:num>
  <w:num w:numId="3" w16cid:durableId="277031946">
    <w:abstractNumId w:val="5"/>
  </w:num>
  <w:num w:numId="4" w16cid:durableId="1101295178">
    <w:abstractNumId w:val="4"/>
  </w:num>
  <w:num w:numId="5" w16cid:durableId="1031762123">
    <w:abstractNumId w:val="7"/>
  </w:num>
  <w:num w:numId="6" w16cid:durableId="1654602991">
    <w:abstractNumId w:val="3"/>
  </w:num>
  <w:num w:numId="7" w16cid:durableId="1704746584">
    <w:abstractNumId w:val="2"/>
  </w:num>
  <w:num w:numId="8" w16cid:durableId="171721103">
    <w:abstractNumId w:val="1"/>
  </w:num>
  <w:num w:numId="9" w16cid:durableId="1989362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C54"/>
    <w:rsid w:val="00A81CE7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1BECA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2026-08-18T18:44:00Z</dcterms:created>
  <dcterms:modified xsi:type="dcterms:W3CDTF">2026-08-18T18:44:00Z</dcterms:modified>
  <cp:category/>
</cp:coreProperties>
</file>