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1439C2" w14:textId="77777777" w:rsidR="0094531B" w:rsidRPr="0030468F" w:rsidRDefault="00000000">
      <w:pPr>
        <w:jc w:val="center"/>
        <w:rPr>
          <w:color w:val="000000" w:themeColor="text1"/>
        </w:rPr>
      </w:pPr>
      <w:r w:rsidRPr="0030468F">
        <w:rPr>
          <w:b/>
          <w:color w:val="000000" w:themeColor="text1"/>
          <w:sz w:val="36"/>
        </w:rPr>
        <w:t>REGULATORY APPROVAL LETTER</w:t>
      </w:r>
    </w:p>
    <w:p w14:paraId="43F87B2D" w14:textId="77777777" w:rsidR="0094531B" w:rsidRPr="0030468F" w:rsidRDefault="00000000">
      <w:pPr>
        <w:jc w:val="center"/>
        <w:rPr>
          <w:color w:val="000000" w:themeColor="text1"/>
        </w:rPr>
      </w:pPr>
      <w:r w:rsidRPr="0030468F">
        <w:rPr>
          <w:b/>
          <w:color w:val="000000" w:themeColor="text1"/>
          <w:sz w:val="26"/>
        </w:rPr>
        <w:t>IMM-2026-001</w:t>
      </w:r>
    </w:p>
    <w:p w14:paraId="2E9A53ED" w14:textId="77777777" w:rsidR="0094531B" w:rsidRPr="0030468F" w:rsidRDefault="00000000">
      <w:pPr>
        <w:jc w:val="center"/>
        <w:rPr>
          <w:color w:val="000000" w:themeColor="text1"/>
        </w:rPr>
      </w:pPr>
      <w:r w:rsidRPr="0030468F">
        <w:rPr>
          <w:i/>
          <w:color w:val="000000" w:themeColor="text1"/>
        </w:rPr>
        <w:t>Version 1.0</w:t>
      </w:r>
    </w:p>
    <w:p w14:paraId="7192781F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94531B" w:rsidRPr="0030468F" w14:paraId="23BEA17D" w14:textId="77777777">
        <w:trPr>
          <w:jc w:val="center"/>
        </w:trPr>
        <w:tc>
          <w:tcPr>
            <w:tcW w:w="4320" w:type="dxa"/>
          </w:tcPr>
          <w:p w14:paraId="1B1732FA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40B6215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Regulatory Approval Letter</w:t>
            </w:r>
          </w:p>
        </w:tc>
      </w:tr>
      <w:tr w:rsidR="0094531B" w:rsidRPr="0030468F" w14:paraId="6F9980A3" w14:textId="77777777">
        <w:trPr>
          <w:jc w:val="center"/>
        </w:trPr>
        <w:tc>
          <w:tcPr>
            <w:tcW w:w="4320" w:type="dxa"/>
          </w:tcPr>
          <w:p w14:paraId="6345F46D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DBEE66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DOC-0050</w:t>
            </w:r>
          </w:p>
        </w:tc>
      </w:tr>
      <w:tr w:rsidR="0094531B" w:rsidRPr="0030468F" w14:paraId="5325D591" w14:textId="77777777">
        <w:trPr>
          <w:jc w:val="center"/>
        </w:trPr>
        <w:tc>
          <w:tcPr>
            <w:tcW w:w="4320" w:type="dxa"/>
          </w:tcPr>
          <w:p w14:paraId="6EE8E62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7D2201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03.01.05</w:t>
            </w:r>
          </w:p>
        </w:tc>
      </w:tr>
      <w:tr w:rsidR="0094531B" w:rsidRPr="0030468F" w14:paraId="25E7B53C" w14:textId="77777777">
        <w:trPr>
          <w:jc w:val="center"/>
        </w:trPr>
        <w:tc>
          <w:tcPr>
            <w:tcW w:w="4320" w:type="dxa"/>
          </w:tcPr>
          <w:p w14:paraId="6D7EF2F7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A3BDF0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IMM-2026-001</w:t>
            </w:r>
          </w:p>
        </w:tc>
      </w:tr>
      <w:tr w:rsidR="0094531B" w:rsidRPr="0030468F" w14:paraId="3E554D64" w14:textId="77777777">
        <w:trPr>
          <w:jc w:val="center"/>
        </w:trPr>
        <w:tc>
          <w:tcPr>
            <w:tcW w:w="4320" w:type="dxa"/>
          </w:tcPr>
          <w:p w14:paraId="45208049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AE640EC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Fictional Pharma Ltd.</w:t>
            </w:r>
          </w:p>
        </w:tc>
      </w:tr>
      <w:tr w:rsidR="0094531B" w:rsidRPr="0030468F" w14:paraId="04980751" w14:textId="77777777">
        <w:trPr>
          <w:jc w:val="center"/>
        </w:trPr>
        <w:tc>
          <w:tcPr>
            <w:tcW w:w="4320" w:type="dxa"/>
          </w:tcPr>
          <w:p w14:paraId="6986BCE2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10915D9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Immunology / Allergy</w:t>
            </w:r>
          </w:p>
        </w:tc>
      </w:tr>
      <w:tr w:rsidR="0094531B" w:rsidRPr="0030468F" w14:paraId="3655F889" w14:textId="77777777">
        <w:trPr>
          <w:jc w:val="center"/>
        </w:trPr>
        <w:tc>
          <w:tcPr>
            <w:tcW w:w="4320" w:type="dxa"/>
          </w:tcPr>
          <w:p w14:paraId="575D6E0A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65357A4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Moderate-to-Severe Atopic Dermatitis</w:t>
            </w:r>
          </w:p>
        </w:tc>
      </w:tr>
      <w:tr w:rsidR="0094531B" w:rsidRPr="0030468F" w14:paraId="556D92B4" w14:textId="77777777">
        <w:trPr>
          <w:jc w:val="center"/>
        </w:trPr>
        <w:tc>
          <w:tcPr>
            <w:tcW w:w="4320" w:type="dxa"/>
          </w:tcPr>
          <w:p w14:paraId="1B2C5DF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101D7711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Phase II</w:t>
            </w:r>
          </w:p>
        </w:tc>
      </w:tr>
      <w:tr w:rsidR="0094531B" w:rsidRPr="0030468F" w14:paraId="1778A9F4" w14:textId="77777777">
        <w:trPr>
          <w:jc w:val="center"/>
        </w:trPr>
        <w:tc>
          <w:tcPr>
            <w:tcW w:w="4320" w:type="dxa"/>
          </w:tcPr>
          <w:p w14:paraId="67A1E0D3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83AEBE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Randomized, Double-Blind, Placebo-Controlled</w:t>
            </w:r>
          </w:p>
        </w:tc>
      </w:tr>
      <w:tr w:rsidR="0094531B" w:rsidRPr="0030468F" w14:paraId="18F3A423" w14:textId="77777777">
        <w:trPr>
          <w:jc w:val="center"/>
        </w:trPr>
        <w:tc>
          <w:tcPr>
            <w:tcW w:w="4320" w:type="dxa"/>
          </w:tcPr>
          <w:p w14:paraId="0B1CAF7D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6850A93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IMM-101</w:t>
            </w:r>
          </w:p>
        </w:tc>
      </w:tr>
      <w:tr w:rsidR="0094531B" w:rsidRPr="0030468F" w14:paraId="4D6EC4D3" w14:textId="77777777">
        <w:trPr>
          <w:jc w:val="center"/>
        </w:trPr>
        <w:tc>
          <w:tcPr>
            <w:tcW w:w="4320" w:type="dxa"/>
          </w:tcPr>
          <w:p w14:paraId="55EC9A6C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0ECF48D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Trial</w:t>
            </w:r>
          </w:p>
        </w:tc>
      </w:tr>
      <w:tr w:rsidR="0094531B" w:rsidRPr="0030468F" w14:paraId="0C4F2700" w14:textId="77777777">
        <w:trPr>
          <w:jc w:val="center"/>
        </w:trPr>
        <w:tc>
          <w:tcPr>
            <w:tcW w:w="4320" w:type="dxa"/>
          </w:tcPr>
          <w:p w14:paraId="2D81B961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4B19933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Global</w:t>
            </w:r>
          </w:p>
        </w:tc>
      </w:tr>
      <w:tr w:rsidR="0094531B" w:rsidRPr="0030468F" w14:paraId="196E2190" w14:textId="77777777">
        <w:trPr>
          <w:jc w:val="center"/>
        </w:trPr>
        <w:tc>
          <w:tcPr>
            <w:tcW w:w="4320" w:type="dxa"/>
          </w:tcPr>
          <w:p w14:paraId="5397ECF0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6698709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N/A</w:t>
            </w:r>
          </w:p>
        </w:tc>
      </w:tr>
      <w:tr w:rsidR="0094531B" w:rsidRPr="0030468F" w14:paraId="0E5AF4E5" w14:textId="77777777">
        <w:trPr>
          <w:jc w:val="center"/>
        </w:trPr>
        <w:tc>
          <w:tcPr>
            <w:tcW w:w="4320" w:type="dxa"/>
          </w:tcPr>
          <w:p w14:paraId="310A5B1E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5566483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1.0</w:t>
            </w:r>
          </w:p>
        </w:tc>
      </w:tr>
      <w:tr w:rsidR="0094531B" w:rsidRPr="0030468F" w14:paraId="0EFE4807" w14:textId="77777777">
        <w:trPr>
          <w:jc w:val="center"/>
        </w:trPr>
        <w:tc>
          <w:tcPr>
            <w:tcW w:w="4320" w:type="dxa"/>
          </w:tcPr>
          <w:p w14:paraId="5271C00B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0E15171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Effective</w:t>
            </w:r>
          </w:p>
        </w:tc>
      </w:tr>
      <w:tr w:rsidR="0094531B" w:rsidRPr="0030468F" w14:paraId="6294A403" w14:textId="77777777">
        <w:trPr>
          <w:jc w:val="center"/>
        </w:trPr>
        <w:tc>
          <w:tcPr>
            <w:tcW w:w="4320" w:type="dxa"/>
          </w:tcPr>
          <w:p w14:paraId="4C1DDE47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0E52A4D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26-Nov-2026</w:t>
            </w:r>
          </w:p>
        </w:tc>
      </w:tr>
      <w:tr w:rsidR="0094531B" w:rsidRPr="0030468F" w14:paraId="7FE773DE" w14:textId="77777777">
        <w:trPr>
          <w:jc w:val="center"/>
        </w:trPr>
        <w:tc>
          <w:tcPr>
            <w:tcW w:w="4320" w:type="dxa"/>
          </w:tcPr>
          <w:p w14:paraId="7B64F15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A8B5FCF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Regulatory Affairs</w:t>
            </w:r>
          </w:p>
        </w:tc>
      </w:tr>
    </w:tbl>
    <w:p w14:paraId="6D550C86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1. Purpose</w:t>
      </w:r>
    </w:p>
    <w:p w14:paraId="72CE5AB3" w14:textId="77777777" w:rsidR="0094531B" w:rsidRPr="0030468F" w:rsidRDefault="00000000">
      <w:pPr>
        <w:rPr>
          <w:color w:val="000000" w:themeColor="text1"/>
        </w:rPr>
      </w:pPr>
      <w:r w:rsidRPr="0030468F">
        <w:rPr>
          <w:color w:val="000000" w:themeColor="text1"/>
        </w:rPr>
        <w:t>Documents the fictional regulatory authority approval for the study and provides traceability to the related submission.</w:t>
      </w:r>
    </w:p>
    <w:p w14:paraId="717A8620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2. Study Context</w:t>
      </w:r>
    </w:p>
    <w:p w14:paraId="047878A2" w14:textId="77777777" w:rsidR="0094531B" w:rsidRPr="0030468F" w:rsidRDefault="00000000">
      <w:pPr>
        <w:rPr>
          <w:color w:val="000000" w:themeColor="text1"/>
        </w:rPr>
      </w:pPr>
      <w:r w:rsidRPr="0030468F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1CB88DD6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3. Governance and Responsibilities</w:t>
      </w:r>
    </w:p>
    <w:p w14:paraId="6F25F9F2" w14:textId="77777777" w:rsidR="0094531B" w:rsidRPr="0030468F" w:rsidRDefault="00000000">
      <w:pPr>
        <w:rPr>
          <w:color w:val="000000" w:themeColor="text1"/>
        </w:rPr>
      </w:pPr>
      <w:r w:rsidRPr="0030468F">
        <w:rPr>
          <w:color w:val="000000" w:themeColor="text1"/>
        </w:rPr>
        <w:t>The document owner is Regulatory Affairs. Relevant stakeholders include Clinical Operations, Regulatory Affairs, Quality Assurance, Medical Affairs, Safety, Data Management, Biostatistics, and Document Management as applicable.</w:t>
      </w:r>
    </w:p>
    <w:p w14:paraId="1EF2A364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lastRenderedPageBreak/>
        <w:t>4. Process Requirements</w:t>
      </w:r>
    </w:p>
    <w:p w14:paraId="5D72EB26" w14:textId="77777777" w:rsidR="0094531B" w:rsidRPr="0030468F" w:rsidRDefault="00000000">
      <w:pPr>
        <w:rPr>
          <w:color w:val="000000" w:themeColor="text1"/>
        </w:rPr>
      </w:pPr>
      <w:r w:rsidRPr="0030468F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1CB3F702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5. Oversight and Escalation</w:t>
      </w:r>
    </w:p>
    <w:p w14:paraId="3F17D846" w14:textId="77777777" w:rsidR="0094531B" w:rsidRPr="0030468F" w:rsidRDefault="00000000">
      <w:pPr>
        <w:rPr>
          <w:color w:val="000000" w:themeColor="text1"/>
        </w:rPr>
      </w:pPr>
      <w:r w:rsidRPr="0030468F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10D0D963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6. Document Maintenance</w:t>
      </w:r>
    </w:p>
    <w:p w14:paraId="37306A48" w14:textId="77777777" w:rsidR="0094531B" w:rsidRPr="0030468F" w:rsidRDefault="00000000">
      <w:pPr>
        <w:rPr>
          <w:color w:val="000000" w:themeColor="text1"/>
        </w:rPr>
      </w:pPr>
      <w:r w:rsidRPr="0030468F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576A124A" w14:textId="77777777" w:rsidR="0094531B" w:rsidRPr="0030468F" w:rsidRDefault="00000000">
      <w:pPr>
        <w:pStyle w:val="Heading1"/>
        <w:rPr>
          <w:color w:val="000000" w:themeColor="text1"/>
        </w:rPr>
      </w:pPr>
      <w:r w:rsidRPr="0030468F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4531B" w:rsidRPr="0030468F" w14:paraId="6FCBA9AF" w14:textId="77777777">
        <w:tc>
          <w:tcPr>
            <w:tcW w:w="2160" w:type="dxa"/>
          </w:tcPr>
          <w:p w14:paraId="1B4C7B53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023DBD8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5AB5CC40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B69AAD7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Description</w:t>
            </w:r>
          </w:p>
        </w:tc>
      </w:tr>
      <w:tr w:rsidR="0094531B" w:rsidRPr="0030468F" w14:paraId="7A2BF233" w14:textId="77777777">
        <w:tc>
          <w:tcPr>
            <w:tcW w:w="2160" w:type="dxa"/>
          </w:tcPr>
          <w:p w14:paraId="7339858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0C4558D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26-Nov-2026</w:t>
            </w:r>
          </w:p>
        </w:tc>
        <w:tc>
          <w:tcPr>
            <w:tcW w:w="2160" w:type="dxa"/>
          </w:tcPr>
          <w:p w14:paraId="0712BD0C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Regulatory Affairs</w:t>
            </w:r>
          </w:p>
        </w:tc>
        <w:tc>
          <w:tcPr>
            <w:tcW w:w="2160" w:type="dxa"/>
          </w:tcPr>
          <w:p w14:paraId="74EB1906" w14:textId="77777777" w:rsidR="0094531B" w:rsidRPr="0030468F" w:rsidRDefault="00000000">
            <w:pPr>
              <w:rPr>
                <w:color w:val="000000" w:themeColor="text1"/>
              </w:rPr>
            </w:pPr>
            <w:r w:rsidRPr="0030468F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2F79015" w14:textId="77777777" w:rsidR="0094531B" w:rsidRPr="0030468F" w:rsidRDefault="00000000">
      <w:pPr>
        <w:rPr>
          <w:color w:val="000000" w:themeColor="text1"/>
        </w:rPr>
      </w:pPr>
      <w:r w:rsidRPr="0030468F">
        <w:rPr>
          <w:b/>
          <w:color w:val="000000" w:themeColor="text1"/>
        </w:rPr>
        <w:t xml:space="preserve">TRAINING USE ONLY — </w:t>
      </w:r>
      <w:r w:rsidRPr="0030468F">
        <w:rPr>
          <w:color w:val="000000" w:themeColor="text1"/>
        </w:rPr>
        <w:t>This document is fictional and is not a record from a real clinical trial.</w:t>
      </w:r>
    </w:p>
    <w:sectPr w:rsidR="0094531B" w:rsidRPr="00304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198870">
    <w:abstractNumId w:val="8"/>
  </w:num>
  <w:num w:numId="2" w16cid:durableId="1942912170">
    <w:abstractNumId w:val="6"/>
  </w:num>
  <w:num w:numId="3" w16cid:durableId="2089226013">
    <w:abstractNumId w:val="5"/>
  </w:num>
  <w:num w:numId="4" w16cid:durableId="474378060">
    <w:abstractNumId w:val="4"/>
  </w:num>
  <w:num w:numId="5" w16cid:durableId="366684112">
    <w:abstractNumId w:val="7"/>
  </w:num>
  <w:num w:numId="6" w16cid:durableId="578372121">
    <w:abstractNumId w:val="3"/>
  </w:num>
  <w:num w:numId="7" w16cid:durableId="370153361">
    <w:abstractNumId w:val="2"/>
  </w:num>
  <w:num w:numId="8" w16cid:durableId="985205377">
    <w:abstractNumId w:val="1"/>
  </w:num>
  <w:num w:numId="9" w16cid:durableId="13397687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68F"/>
    <w:rsid w:val="00326F90"/>
    <w:rsid w:val="0094531B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328C3E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2026-08-18T18:46:00Z</dcterms:created>
  <dcterms:modified xsi:type="dcterms:W3CDTF">2026-08-18T18:46:00Z</dcterms:modified>
  <cp:category/>
</cp:coreProperties>
</file>