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7B61C0" w14:textId="77777777" w:rsidR="00D96C77" w:rsidRPr="002516F2" w:rsidRDefault="00000000">
      <w:pPr>
        <w:jc w:val="center"/>
        <w:rPr>
          <w:color w:val="000000" w:themeColor="text1"/>
        </w:rPr>
      </w:pPr>
      <w:r w:rsidRPr="002516F2">
        <w:rPr>
          <w:b/>
          <w:color w:val="000000" w:themeColor="text1"/>
          <w:sz w:val="36"/>
        </w:rPr>
        <w:t>INFORMED CONSENT APPROVAL RECORD</w:t>
      </w:r>
    </w:p>
    <w:p w14:paraId="2961D7DF" w14:textId="77777777" w:rsidR="00D96C77" w:rsidRPr="002516F2" w:rsidRDefault="00000000">
      <w:pPr>
        <w:jc w:val="center"/>
        <w:rPr>
          <w:color w:val="000000" w:themeColor="text1"/>
        </w:rPr>
      </w:pPr>
      <w:r w:rsidRPr="002516F2">
        <w:rPr>
          <w:b/>
          <w:color w:val="000000" w:themeColor="text1"/>
          <w:sz w:val="26"/>
        </w:rPr>
        <w:t>IMM-2026-001</w:t>
      </w:r>
    </w:p>
    <w:p w14:paraId="29A346AD" w14:textId="77777777" w:rsidR="00D96C77" w:rsidRPr="002516F2" w:rsidRDefault="00000000">
      <w:pPr>
        <w:jc w:val="center"/>
        <w:rPr>
          <w:color w:val="000000" w:themeColor="text1"/>
        </w:rPr>
      </w:pPr>
      <w:r w:rsidRPr="002516F2">
        <w:rPr>
          <w:i/>
          <w:color w:val="000000" w:themeColor="text1"/>
        </w:rPr>
        <w:t>Version 1.0</w:t>
      </w:r>
    </w:p>
    <w:p w14:paraId="77DB2B51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96C77" w:rsidRPr="002516F2" w14:paraId="7F6E798F" w14:textId="77777777">
        <w:trPr>
          <w:jc w:val="center"/>
        </w:trPr>
        <w:tc>
          <w:tcPr>
            <w:tcW w:w="4320" w:type="dxa"/>
          </w:tcPr>
          <w:p w14:paraId="2E19C5C7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DC526CE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Informed Consent Approval Record</w:t>
            </w:r>
          </w:p>
        </w:tc>
      </w:tr>
      <w:tr w:rsidR="00D96C77" w:rsidRPr="002516F2" w14:paraId="07FC115F" w14:textId="77777777">
        <w:trPr>
          <w:jc w:val="center"/>
        </w:trPr>
        <w:tc>
          <w:tcPr>
            <w:tcW w:w="4320" w:type="dxa"/>
          </w:tcPr>
          <w:p w14:paraId="4C3A6327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6FAA0E9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DOC-0055</w:t>
            </w:r>
          </w:p>
        </w:tc>
      </w:tr>
      <w:tr w:rsidR="00D96C77" w:rsidRPr="002516F2" w14:paraId="225D3B7B" w14:textId="77777777">
        <w:trPr>
          <w:jc w:val="center"/>
        </w:trPr>
        <w:tc>
          <w:tcPr>
            <w:tcW w:w="4320" w:type="dxa"/>
          </w:tcPr>
          <w:p w14:paraId="6C330D40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D9042BD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04.01.05</w:t>
            </w:r>
          </w:p>
        </w:tc>
      </w:tr>
      <w:tr w:rsidR="00D96C77" w:rsidRPr="002516F2" w14:paraId="0D511EC5" w14:textId="77777777">
        <w:trPr>
          <w:jc w:val="center"/>
        </w:trPr>
        <w:tc>
          <w:tcPr>
            <w:tcW w:w="4320" w:type="dxa"/>
          </w:tcPr>
          <w:p w14:paraId="6DBFAA08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CEAF8A1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IMM-2026-001</w:t>
            </w:r>
          </w:p>
        </w:tc>
      </w:tr>
      <w:tr w:rsidR="00D96C77" w:rsidRPr="002516F2" w14:paraId="0C12A2CB" w14:textId="77777777">
        <w:trPr>
          <w:jc w:val="center"/>
        </w:trPr>
        <w:tc>
          <w:tcPr>
            <w:tcW w:w="4320" w:type="dxa"/>
          </w:tcPr>
          <w:p w14:paraId="7C161CCA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75B7E8B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Fictional Pharma Ltd.</w:t>
            </w:r>
          </w:p>
        </w:tc>
      </w:tr>
      <w:tr w:rsidR="00D96C77" w:rsidRPr="002516F2" w14:paraId="536758E3" w14:textId="77777777">
        <w:trPr>
          <w:jc w:val="center"/>
        </w:trPr>
        <w:tc>
          <w:tcPr>
            <w:tcW w:w="4320" w:type="dxa"/>
          </w:tcPr>
          <w:p w14:paraId="41FC08CF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CEAB67A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Immunology / Allergy</w:t>
            </w:r>
          </w:p>
        </w:tc>
      </w:tr>
      <w:tr w:rsidR="00D96C77" w:rsidRPr="002516F2" w14:paraId="1DC25135" w14:textId="77777777">
        <w:trPr>
          <w:jc w:val="center"/>
        </w:trPr>
        <w:tc>
          <w:tcPr>
            <w:tcW w:w="4320" w:type="dxa"/>
          </w:tcPr>
          <w:p w14:paraId="3EC9CBF7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EA291DA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Moderate-to-Severe Atopic Dermatitis</w:t>
            </w:r>
          </w:p>
        </w:tc>
      </w:tr>
      <w:tr w:rsidR="00D96C77" w:rsidRPr="002516F2" w14:paraId="277C9221" w14:textId="77777777">
        <w:trPr>
          <w:jc w:val="center"/>
        </w:trPr>
        <w:tc>
          <w:tcPr>
            <w:tcW w:w="4320" w:type="dxa"/>
          </w:tcPr>
          <w:p w14:paraId="42B21F24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6618D75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Phase II</w:t>
            </w:r>
          </w:p>
        </w:tc>
      </w:tr>
      <w:tr w:rsidR="00D96C77" w:rsidRPr="002516F2" w14:paraId="08D67B62" w14:textId="77777777">
        <w:trPr>
          <w:jc w:val="center"/>
        </w:trPr>
        <w:tc>
          <w:tcPr>
            <w:tcW w:w="4320" w:type="dxa"/>
          </w:tcPr>
          <w:p w14:paraId="70FEC08C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82D9C6A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Randomized, Double-Blind, Placebo-Controlled</w:t>
            </w:r>
          </w:p>
        </w:tc>
      </w:tr>
      <w:tr w:rsidR="00D96C77" w:rsidRPr="002516F2" w14:paraId="653BCABB" w14:textId="77777777">
        <w:trPr>
          <w:jc w:val="center"/>
        </w:trPr>
        <w:tc>
          <w:tcPr>
            <w:tcW w:w="4320" w:type="dxa"/>
          </w:tcPr>
          <w:p w14:paraId="27480F3B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27D1FDB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IMM-101</w:t>
            </w:r>
          </w:p>
        </w:tc>
      </w:tr>
      <w:tr w:rsidR="00D96C77" w:rsidRPr="002516F2" w14:paraId="46C57313" w14:textId="77777777">
        <w:trPr>
          <w:jc w:val="center"/>
        </w:trPr>
        <w:tc>
          <w:tcPr>
            <w:tcW w:w="4320" w:type="dxa"/>
          </w:tcPr>
          <w:p w14:paraId="41DD4E49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2112501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Country / Site</w:t>
            </w:r>
          </w:p>
        </w:tc>
      </w:tr>
      <w:tr w:rsidR="00D96C77" w:rsidRPr="002516F2" w14:paraId="08C8E6B0" w14:textId="77777777">
        <w:trPr>
          <w:jc w:val="center"/>
        </w:trPr>
        <w:tc>
          <w:tcPr>
            <w:tcW w:w="4320" w:type="dxa"/>
          </w:tcPr>
          <w:p w14:paraId="1FDC8655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A1A29F7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Türkiye</w:t>
            </w:r>
          </w:p>
        </w:tc>
      </w:tr>
      <w:tr w:rsidR="00D96C77" w:rsidRPr="002516F2" w14:paraId="46201A2F" w14:textId="77777777">
        <w:trPr>
          <w:jc w:val="center"/>
        </w:trPr>
        <w:tc>
          <w:tcPr>
            <w:tcW w:w="4320" w:type="dxa"/>
          </w:tcPr>
          <w:p w14:paraId="1E46AE61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89C7ACF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Representative Study Site</w:t>
            </w:r>
          </w:p>
        </w:tc>
      </w:tr>
      <w:tr w:rsidR="00D96C77" w:rsidRPr="002516F2" w14:paraId="507072F3" w14:textId="77777777">
        <w:trPr>
          <w:jc w:val="center"/>
        </w:trPr>
        <w:tc>
          <w:tcPr>
            <w:tcW w:w="4320" w:type="dxa"/>
          </w:tcPr>
          <w:p w14:paraId="589965BF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FE14714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1.0</w:t>
            </w:r>
          </w:p>
        </w:tc>
      </w:tr>
      <w:tr w:rsidR="00D96C77" w:rsidRPr="002516F2" w14:paraId="7B49031C" w14:textId="77777777">
        <w:trPr>
          <w:jc w:val="center"/>
        </w:trPr>
        <w:tc>
          <w:tcPr>
            <w:tcW w:w="4320" w:type="dxa"/>
          </w:tcPr>
          <w:p w14:paraId="04F6C652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A22FCCD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Effective</w:t>
            </w:r>
          </w:p>
        </w:tc>
      </w:tr>
      <w:tr w:rsidR="00D96C77" w:rsidRPr="002516F2" w14:paraId="6D06796D" w14:textId="77777777">
        <w:trPr>
          <w:jc w:val="center"/>
        </w:trPr>
        <w:tc>
          <w:tcPr>
            <w:tcW w:w="4320" w:type="dxa"/>
          </w:tcPr>
          <w:p w14:paraId="3B0943AE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D764373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06-Dec-2026</w:t>
            </w:r>
          </w:p>
        </w:tc>
      </w:tr>
      <w:tr w:rsidR="00D96C77" w:rsidRPr="002516F2" w14:paraId="1E5F3D3B" w14:textId="77777777">
        <w:trPr>
          <w:jc w:val="center"/>
        </w:trPr>
        <w:tc>
          <w:tcPr>
            <w:tcW w:w="4320" w:type="dxa"/>
          </w:tcPr>
          <w:p w14:paraId="2C6D44F5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6FB364E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Clinical Operations</w:t>
            </w:r>
          </w:p>
        </w:tc>
      </w:tr>
    </w:tbl>
    <w:p w14:paraId="46BCD3AE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t>1. Purpose</w:t>
      </w:r>
    </w:p>
    <w:p w14:paraId="55118C7B" w14:textId="77777777" w:rsidR="00D96C77" w:rsidRPr="002516F2" w:rsidRDefault="00000000">
      <w:pPr>
        <w:rPr>
          <w:color w:val="000000" w:themeColor="text1"/>
        </w:rPr>
      </w:pPr>
      <w:r w:rsidRPr="002516F2">
        <w:rPr>
          <w:color w:val="000000" w:themeColor="text1"/>
        </w:rPr>
        <w:t>Documents approval of the applicable informed consent version and its relationship to the submitted study documents.</w:t>
      </w:r>
    </w:p>
    <w:p w14:paraId="1D473575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t>2. Study Context</w:t>
      </w:r>
    </w:p>
    <w:p w14:paraId="4FDA9D20" w14:textId="77777777" w:rsidR="00D96C77" w:rsidRPr="002516F2" w:rsidRDefault="00000000">
      <w:pPr>
        <w:rPr>
          <w:color w:val="000000" w:themeColor="text1"/>
        </w:rPr>
      </w:pPr>
      <w:r w:rsidRPr="002516F2">
        <w:rPr>
          <w:color w:val="000000" w:themeColor="text1"/>
        </w:rPr>
        <w:t>This document applies to the fictional IMM-2026-001 Phase II clinical trial and supports consistent, traceable ethics and study documentation.</w:t>
      </w:r>
    </w:p>
    <w:p w14:paraId="10CAA361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t>3. Governance and Responsibilities</w:t>
      </w:r>
    </w:p>
    <w:p w14:paraId="48EA700B" w14:textId="77777777" w:rsidR="00D96C77" w:rsidRPr="002516F2" w:rsidRDefault="00000000">
      <w:pPr>
        <w:rPr>
          <w:color w:val="000000" w:themeColor="text1"/>
        </w:rPr>
      </w:pPr>
      <w:r w:rsidRPr="002516F2">
        <w:rPr>
          <w:color w:val="000000" w:themeColor="text1"/>
        </w:rPr>
        <w:t>The document owner is Clinical Operations. Relevant stakeholders include Clinical Operations, Regulatory Affairs, Quality Assurance, investigators and site staff, Medical Affairs, Safety, and Document Management as applicable.</w:t>
      </w:r>
    </w:p>
    <w:p w14:paraId="64D92B7D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lastRenderedPageBreak/>
        <w:t>4. Process Requirements</w:t>
      </w:r>
    </w:p>
    <w:p w14:paraId="7A663DE9" w14:textId="77777777" w:rsidR="00D96C77" w:rsidRPr="002516F2" w:rsidRDefault="00000000">
      <w:pPr>
        <w:rPr>
          <w:color w:val="000000" w:themeColor="text1"/>
        </w:rPr>
      </w:pPr>
      <w:r w:rsidRPr="002516F2">
        <w:rPr>
          <w:color w:val="000000" w:themeColor="text1"/>
        </w:rPr>
        <w:t>Activities covered by this document will be performed according to the approved protocol, applicable sponsor procedures, ethics requirements, and relevant clinical-trial requirements. Records will be maintained in the applicable TMF location.</w:t>
      </w:r>
    </w:p>
    <w:p w14:paraId="3F621C3D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t>5. Oversight and Escalation</w:t>
      </w:r>
    </w:p>
    <w:p w14:paraId="31E22F18" w14:textId="77777777" w:rsidR="00D96C77" w:rsidRPr="002516F2" w:rsidRDefault="00000000">
      <w:pPr>
        <w:rPr>
          <w:color w:val="000000" w:themeColor="text1"/>
        </w:rPr>
      </w:pPr>
      <w:r w:rsidRPr="002516F2">
        <w:rPr>
          <w:color w:val="000000" w:themeColor="text1"/>
        </w:rPr>
        <w:t>Material delays, deficiencies, questions, or concerns affecting participant protection, regulatory compliance, or study conduct will be documented and escalated to appropriate study leadership.</w:t>
      </w:r>
    </w:p>
    <w:p w14:paraId="4D358AE1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t>6. Document Maintenance</w:t>
      </w:r>
    </w:p>
    <w:p w14:paraId="1A1DA771" w14:textId="77777777" w:rsidR="00D96C77" w:rsidRPr="002516F2" w:rsidRDefault="00000000">
      <w:pPr>
        <w:rPr>
          <w:color w:val="000000" w:themeColor="text1"/>
        </w:rPr>
      </w:pPr>
      <w:r w:rsidRPr="002516F2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7EAD5B62" w14:textId="77777777" w:rsidR="00D96C77" w:rsidRPr="002516F2" w:rsidRDefault="00000000">
      <w:pPr>
        <w:pStyle w:val="Heading1"/>
        <w:rPr>
          <w:color w:val="000000" w:themeColor="text1"/>
        </w:rPr>
      </w:pPr>
      <w:r w:rsidRPr="002516F2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96C77" w:rsidRPr="002516F2" w14:paraId="36B088E1" w14:textId="77777777">
        <w:tc>
          <w:tcPr>
            <w:tcW w:w="2160" w:type="dxa"/>
          </w:tcPr>
          <w:p w14:paraId="5B97CDCA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9BE9CB7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08F0C9E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AE3F812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Description</w:t>
            </w:r>
          </w:p>
        </w:tc>
      </w:tr>
      <w:tr w:rsidR="00D96C77" w:rsidRPr="002516F2" w14:paraId="47EF7424" w14:textId="77777777">
        <w:tc>
          <w:tcPr>
            <w:tcW w:w="2160" w:type="dxa"/>
          </w:tcPr>
          <w:p w14:paraId="2D7FFE60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24E6C2A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06-Dec-2026</w:t>
            </w:r>
          </w:p>
        </w:tc>
        <w:tc>
          <w:tcPr>
            <w:tcW w:w="2160" w:type="dxa"/>
          </w:tcPr>
          <w:p w14:paraId="35983F15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2CB8C878" w14:textId="77777777" w:rsidR="00D96C77" w:rsidRPr="002516F2" w:rsidRDefault="00000000">
            <w:pPr>
              <w:rPr>
                <w:color w:val="000000" w:themeColor="text1"/>
              </w:rPr>
            </w:pPr>
            <w:r w:rsidRPr="002516F2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48476D08" w14:textId="77777777" w:rsidR="00D96C77" w:rsidRPr="002516F2" w:rsidRDefault="00000000">
      <w:pPr>
        <w:rPr>
          <w:color w:val="000000" w:themeColor="text1"/>
        </w:rPr>
      </w:pPr>
      <w:r w:rsidRPr="002516F2">
        <w:rPr>
          <w:b/>
          <w:color w:val="000000" w:themeColor="text1"/>
        </w:rPr>
        <w:t xml:space="preserve">TRAINING USE ONLY — </w:t>
      </w:r>
      <w:r w:rsidRPr="002516F2">
        <w:rPr>
          <w:color w:val="000000" w:themeColor="text1"/>
        </w:rPr>
        <w:t>This document is fictional and is not a record from a real clinical trial.</w:t>
      </w:r>
    </w:p>
    <w:sectPr w:rsidR="00D96C77" w:rsidRPr="002516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822994">
    <w:abstractNumId w:val="8"/>
  </w:num>
  <w:num w:numId="2" w16cid:durableId="1204445129">
    <w:abstractNumId w:val="6"/>
  </w:num>
  <w:num w:numId="3" w16cid:durableId="1773471927">
    <w:abstractNumId w:val="5"/>
  </w:num>
  <w:num w:numId="4" w16cid:durableId="934359378">
    <w:abstractNumId w:val="4"/>
  </w:num>
  <w:num w:numId="5" w16cid:durableId="1563590441">
    <w:abstractNumId w:val="7"/>
  </w:num>
  <w:num w:numId="6" w16cid:durableId="1941454163">
    <w:abstractNumId w:val="3"/>
  </w:num>
  <w:num w:numId="7" w16cid:durableId="617954326">
    <w:abstractNumId w:val="2"/>
  </w:num>
  <w:num w:numId="8" w16cid:durableId="280890716">
    <w:abstractNumId w:val="1"/>
  </w:num>
  <w:num w:numId="9" w16cid:durableId="17875800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6F2"/>
    <w:rsid w:val="0029639D"/>
    <w:rsid w:val="00326F90"/>
    <w:rsid w:val="00AA1D8D"/>
    <w:rsid w:val="00B47730"/>
    <w:rsid w:val="00CB0664"/>
    <w:rsid w:val="00D34426"/>
    <w:rsid w:val="00D96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32F60C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2026-08-18T18:48:00Z</dcterms:created>
  <dcterms:modified xsi:type="dcterms:W3CDTF">2026-08-18T18:48:00Z</dcterms:modified>
  <cp:category/>
</cp:coreProperties>
</file>