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0F2C89" w14:textId="77777777" w:rsidR="003775DB" w:rsidRPr="00460454" w:rsidRDefault="00000000">
      <w:pPr>
        <w:jc w:val="center"/>
        <w:rPr>
          <w:color w:val="000000" w:themeColor="text1"/>
        </w:rPr>
      </w:pPr>
      <w:r w:rsidRPr="00460454">
        <w:rPr>
          <w:b/>
          <w:color w:val="000000" w:themeColor="text1"/>
          <w:sz w:val="36"/>
        </w:rPr>
        <w:t>SITE DELEGATION OF AUTHORITY LOG</w:t>
      </w:r>
    </w:p>
    <w:p w14:paraId="412C5B83" w14:textId="77777777" w:rsidR="003775DB" w:rsidRPr="00460454" w:rsidRDefault="00000000">
      <w:pPr>
        <w:jc w:val="center"/>
        <w:rPr>
          <w:color w:val="000000" w:themeColor="text1"/>
        </w:rPr>
      </w:pPr>
      <w:r w:rsidRPr="00460454">
        <w:rPr>
          <w:b/>
          <w:color w:val="000000" w:themeColor="text1"/>
          <w:sz w:val="26"/>
        </w:rPr>
        <w:t>IMM-2026-001</w:t>
      </w:r>
    </w:p>
    <w:p w14:paraId="5DBF7EF7" w14:textId="77777777" w:rsidR="003775DB" w:rsidRPr="00460454" w:rsidRDefault="00000000">
      <w:pPr>
        <w:jc w:val="center"/>
        <w:rPr>
          <w:color w:val="000000" w:themeColor="text1"/>
        </w:rPr>
      </w:pPr>
      <w:r w:rsidRPr="00460454">
        <w:rPr>
          <w:i/>
          <w:color w:val="000000" w:themeColor="text1"/>
        </w:rPr>
        <w:t>Version 1.0</w:t>
      </w:r>
    </w:p>
    <w:p w14:paraId="1676A36C" w14:textId="77777777" w:rsidR="003775DB" w:rsidRPr="00460454" w:rsidRDefault="00000000">
      <w:pPr>
        <w:pStyle w:val="Heading1"/>
        <w:rPr>
          <w:color w:val="000000" w:themeColor="text1"/>
        </w:rPr>
      </w:pPr>
      <w:r w:rsidRPr="00460454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3775DB" w:rsidRPr="00460454" w14:paraId="1905DD0D" w14:textId="77777777">
        <w:trPr>
          <w:jc w:val="center"/>
        </w:trPr>
        <w:tc>
          <w:tcPr>
            <w:tcW w:w="4320" w:type="dxa"/>
          </w:tcPr>
          <w:p w14:paraId="606829F8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171EF0BA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Site Delegation of Authority Log</w:t>
            </w:r>
          </w:p>
        </w:tc>
      </w:tr>
      <w:tr w:rsidR="003775DB" w:rsidRPr="00460454" w14:paraId="1F002132" w14:textId="77777777">
        <w:trPr>
          <w:jc w:val="center"/>
        </w:trPr>
        <w:tc>
          <w:tcPr>
            <w:tcW w:w="4320" w:type="dxa"/>
          </w:tcPr>
          <w:p w14:paraId="10FDE829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77C0155A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DOC-0063</w:t>
            </w:r>
          </w:p>
        </w:tc>
      </w:tr>
      <w:tr w:rsidR="003775DB" w:rsidRPr="00460454" w14:paraId="747FB3E7" w14:textId="77777777">
        <w:trPr>
          <w:jc w:val="center"/>
        </w:trPr>
        <w:tc>
          <w:tcPr>
            <w:tcW w:w="4320" w:type="dxa"/>
          </w:tcPr>
          <w:p w14:paraId="63064C9C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03B5E786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05.01.02</w:t>
            </w:r>
          </w:p>
        </w:tc>
      </w:tr>
      <w:tr w:rsidR="003775DB" w:rsidRPr="00460454" w14:paraId="0B961D6A" w14:textId="77777777">
        <w:trPr>
          <w:jc w:val="center"/>
        </w:trPr>
        <w:tc>
          <w:tcPr>
            <w:tcW w:w="4320" w:type="dxa"/>
          </w:tcPr>
          <w:p w14:paraId="622595E8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56F4E230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IMM-2026-001</w:t>
            </w:r>
          </w:p>
        </w:tc>
      </w:tr>
      <w:tr w:rsidR="003775DB" w:rsidRPr="00460454" w14:paraId="107388B3" w14:textId="77777777">
        <w:trPr>
          <w:jc w:val="center"/>
        </w:trPr>
        <w:tc>
          <w:tcPr>
            <w:tcW w:w="4320" w:type="dxa"/>
          </w:tcPr>
          <w:p w14:paraId="18F3140C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4054CE1A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Fictional Pharma Ltd.</w:t>
            </w:r>
          </w:p>
        </w:tc>
      </w:tr>
      <w:tr w:rsidR="003775DB" w:rsidRPr="00460454" w14:paraId="42268BF6" w14:textId="77777777">
        <w:trPr>
          <w:jc w:val="center"/>
        </w:trPr>
        <w:tc>
          <w:tcPr>
            <w:tcW w:w="4320" w:type="dxa"/>
          </w:tcPr>
          <w:p w14:paraId="3B4FF8EB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060D2A90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Immunology / Allergy</w:t>
            </w:r>
          </w:p>
        </w:tc>
      </w:tr>
      <w:tr w:rsidR="003775DB" w:rsidRPr="00460454" w14:paraId="25B6D26D" w14:textId="77777777">
        <w:trPr>
          <w:jc w:val="center"/>
        </w:trPr>
        <w:tc>
          <w:tcPr>
            <w:tcW w:w="4320" w:type="dxa"/>
          </w:tcPr>
          <w:p w14:paraId="5BD4384E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7780DD4D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Moderate-to-Severe Atopic Dermatitis</w:t>
            </w:r>
          </w:p>
        </w:tc>
      </w:tr>
      <w:tr w:rsidR="003775DB" w:rsidRPr="00460454" w14:paraId="5F1CCB57" w14:textId="77777777">
        <w:trPr>
          <w:jc w:val="center"/>
        </w:trPr>
        <w:tc>
          <w:tcPr>
            <w:tcW w:w="4320" w:type="dxa"/>
          </w:tcPr>
          <w:p w14:paraId="71B37863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0D1E512C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Phase II</w:t>
            </w:r>
          </w:p>
        </w:tc>
      </w:tr>
      <w:tr w:rsidR="003775DB" w:rsidRPr="00460454" w14:paraId="7239F913" w14:textId="77777777">
        <w:trPr>
          <w:jc w:val="center"/>
        </w:trPr>
        <w:tc>
          <w:tcPr>
            <w:tcW w:w="4320" w:type="dxa"/>
          </w:tcPr>
          <w:p w14:paraId="6EB1B7F2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32EABBF8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Randomized, Double-Blind, Placebo-Controlled</w:t>
            </w:r>
          </w:p>
        </w:tc>
      </w:tr>
      <w:tr w:rsidR="003775DB" w:rsidRPr="00460454" w14:paraId="548862E5" w14:textId="77777777">
        <w:trPr>
          <w:jc w:val="center"/>
        </w:trPr>
        <w:tc>
          <w:tcPr>
            <w:tcW w:w="4320" w:type="dxa"/>
          </w:tcPr>
          <w:p w14:paraId="351541E4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0B8DA890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IMM-101</w:t>
            </w:r>
          </w:p>
        </w:tc>
      </w:tr>
      <w:tr w:rsidR="003775DB" w:rsidRPr="00460454" w14:paraId="7FAE7E3F" w14:textId="77777777">
        <w:trPr>
          <w:jc w:val="center"/>
        </w:trPr>
        <w:tc>
          <w:tcPr>
            <w:tcW w:w="4320" w:type="dxa"/>
          </w:tcPr>
          <w:p w14:paraId="0F46C914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299CCE99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Site</w:t>
            </w:r>
          </w:p>
        </w:tc>
      </w:tr>
      <w:tr w:rsidR="003775DB" w:rsidRPr="00460454" w14:paraId="33945A5C" w14:textId="77777777">
        <w:trPr>
          <w:jc w:val="center"/>
        </w:trPr>
        <w:tc>
          <w:tcPr>
            <w:tcW w:w="4320" w:type="dxa"/>
          </w:tcPr>
          <w:p w14:paraId="642E3FB4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5D4ED027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Türkiye</w:t>
            </w:r>
          </w:p>
        </w:tc>
      </w:tr>
      <w:tr w:rsidR="003775DB" w:rsidRPr="00460454" w14:paraId="5B2BE789" w14:textId="77777777">
        <w:trPr>
          <w:jc w:val="center"/>
        </w:trPr>
        <w:tc>
          <w:tcPr>
            <w:tcW w:w="4320" w:type="dxa"/>
          </w:tcPr>
          <w:p w14:paraId="5D5B4E5E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12DA48EA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Representative Study Site</w:t>
            </w:r>
          </w:p>
        </w:tc>
      </w:tr>
      <w:tr w:rsidR="003775DB" w:rsidRPr="00460454" w14:paraId="4F510CA4" w14:textId="77777777">
        <w:trPr>
          <w:jc w:val="center"/>
        </w:trPr>
        <w:tc>
          <w:tcPr>
            <w:tcW w:w="4320" w:type="dxa"/>
          </w:tcPr>
          <w:p w14:paraId="3E5E6B41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47457973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1.0</w:t>
            </w:r>
          </w:p>
        </w:tc>
      </w:tr>
      <w:tr w:rsidR="003775DB" w:rsidRPr="00460454" w14:paraId="34545629" w14:textId="77777777">
        <w:trPr>
          <w:jc w:val="center"/>
        </w:trPr>
        <w:tc>
          <w:tcPr>
            <w:tcW w:w="4320" w:type="dxa"/>
          </w:tcPr>
          <w:p w14:paraId="735EBD93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149BB3FB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Effective</w:t>
            </w:r>
          </w:p>
        </w:tc>
      </w:tr>
      <w:tr w:rsidR="003775DB" w:rsidRPr="00460454" w14:paraId="2AA3B5D9" w14:textId="77777777">
        <w:trPr>
          <w:jc w:val="center"/>
        </w:trPr>
        <w:tc>
          <w:tcPr>
            <w:tcW w:w="4320" w:type="dxa"/>
          </w:tcPr>
          <w:p w14:paraId="227A42A8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475BDFC0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20-Dec-2026</w:t>
            </w:r>
          </w:p>
        </w:tc>
      </w:tr>
      <w:tr w:rsidR="003775DB" w:rsidRPr="00460454" w14:paraId="6876E4A8" w14:textId="77777777">
        <w:trPr>
          <w:jc w:val="center"/>
        </w:trPr>
        <w:tc>
          <w:tcPr>
            <w:tcW w:w="4320" w:type="dxa"/>
          </w:tcPr>
          <w:p w14:paraId="65840B4A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15B1FE56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Clinical Operations</w:t>
            </w:r>
          </w:p>
        </w:tc>
      </w:tr>
    </w:tbl>
    <w:p w14:paraId="342F02CF" w14:textId="77777777" w:rsidR="003775DB" w:rsidRPr="00460454" w:rsidRDefault="00000000">
      <w:pPr>
        <w:pStyle w:val="Heading1"/>
        <w:rPr>
          <w:color w:val="000000" w:themeColor="text1"/>
        </w:rPr>
      </w:pPr>
      <w:r w:rsidRPr="00460454">
        <w:rPr>
          <w:color w:val="000000" w:themeColor="text1"/>
        </w:rPr>
        <w:t>1. Purpose</w:t>
      </w:r>
    </w:p>
    <w:p w14:paraId="0A8B89C2" w14:textId="77777777" w:rsidR="003775DB" w:rsidRPr="00460454" w:rsidRDefault="00000000">
      <w:pPr>
        <w:rPr>
          <w:color w:val="000000" w:themeColor="text1"/>
        </w:rPr>
      </w:pPr>
      <w:r w:rsidRPr="00460454">
        <w:rPr>
          <w:color w:val="000000" w:themeColor="text1"/>
        </w:rPr>
        <w:t>Provides a controlled record of site personnel responsibilities and delegated study activities, including effective dates and applicable roles.</w:t>
      </w:r>
    </w:p>
    <w:p w14:paraId="263080B0" w14:textId="77777777" w:rsidR="003775DB" w:rsidRPr="00460454" w:rsidRDefault="00000000">
      <w:pPr>
        <w:pStyle w:val="Heading1"/>
        <w:rPr>
          <w:color w:val="000000" w:themeColor="text1"/>
        </w:rPr>
      </w:pPr>
      <w:r w:rsidRPr="00460454">
        <w:rPr>
          <w:color w:val="000000" w:themeColor="text1"/>
        </w:rPr>
        <w:t>2. Study Context</w:t>
      </w:r>
    </w:p>
    <w:p w14:paraId="2DC5B608" w14:textId="77777777" w:rsidR="003775DB" w:rsidRPr="00460454" w:rsidRDefault="00000000">
      <w:pPr>
        <w:rPr>
          <w:color w:val="000000" w:themeColor="text1"/>
        </w:rPr>
      </w:pPr>
      <w:r w:rsidRPr="00460454">
        <w:rPr>
          <w:color w:val="000000" w:themeColor="text1"/>
        </w:rPr>
        <w:t>This document applies to the fictional IMM-2026-001 Phase II clinical trial and supports consistent, traceable site management and inspection readiness.</w:t>
      </w:r>
    </w:p>
    <w:p w14:paraId="14E51F6F" w14:textId="77777777" w:rsidR="003775DB" w:rsidRPr="00460454" w:rsidRDefault="00000000">
      <w:pPr>
        <w:pStyle w:val="Heading1"/>
        <w:rPr>
          <w:color w:val="000000" w:themeColor="text1"/>
        </w:rPr>
      </w:pPr>
      <w:r w:rsidRPr="00460454">
        <w:rPr>
          <w:color w:val="000000" w:themeColor="text1"/>
        </w:rPr>
        <w:t>3. Governance and Responsibilities</w:t>
      </w:r>
    </w:p>
    <w:p w14:paraId="34F3A696" w14:textId="77777777" w:rsidR="003775DB" w:rsidRPr="00460454" w:rsidRDefault="00000000">
      <w:pPr>
        <w:rPr>
          <w:color w:val="000000" w:themeColor="text1"/>
        </w:rPr>
      </w:pPr>
      <w:r w:rsidRPr="00460454">
        <w:rPr>
          <w:color w:val="000000" w:themeColor="text1"/>
        </w:rPr>
        <w:t>The document owner is Clinical Operations. Relevant stakeholders include Clinical Operations, Clinical Trial Management, investigators and site staff, Quality Assurance, Regulatory Affairs, Safety, Data Management, and Document Management as applicable.</w:t>
      </w:r>
    </w:p>
    <w:p w14:paraId="024AAA5A" w14:textId="77777777" w:rsidR="003775DB" w:rsidRPr="00460454" w:rsidRDefault="00000000">
      <w:pPr>
        <w:pStyle w:val="Heading1"/>
        <w:rPr>
          <w:color w:val="000000" w:themeColor="text1"/>
        </w:rPr>
      </w:pPr>
      <w:r w:rsidRPr="00460454">
        <w:rPr>
          <w:color w:val="000000" w:themeColor="text1"/>
        </w:rPr>
        <w:lastRenderedPageBreak/>
        <w:t>4. Process Requirements</w:t>
      </w:r>
    </w:p>
    <w:p w14:paraId="0575FAB7" w14:textId="77777777" w:rsidR="003775DB" w:rsidRPr="00460454" w:rsidRDefault="00000000">
      <w:pPr>
        <w:rPr>
          <w:color w:val="000000" w:themeColor="text1"/>
        </w:rPr>
      </w:pPr>
      <w:r w:rsidRPr="00460454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will be maintained in the applicable TMF location.</w:t>
      </w:r>
    </w:p>
    <w:p w14:paraId="1A2004EB" w14:textId="77777777" w:rsidR="003775DB" w:rsidRPr="00460454" w:rsidRDefault="00000000">
      <w:pPr>
        <w:pStyle w:val="Heading1"/>
        <w:rPr>
          <w:color w:val="000000" w:themeColor="text1"/>
        </w:rPr>
      </w:pPr>
      <w:r w:rsidRPr="00460454">
        <w:rPr>
          <w:color w:val="000000" w:themeColor="text1"/>
        </w:rPr>
        <w:t>5. Oversight and Escalation</w:t>
      </w:r>
    </w:p>
    <w:p w14:paraId="59696BF4" w14:textId="77777777" w:rsidR="003775DB" w:rsidRPr="00460454" w:rsidRDefault="00000000">
      <w:pPr>
        <w:rPr>
          <w:color w:val="000000" w:themeColor="text1"/>
        </w:rPr>
      </w:pPr>
      <w:r w:rsidRPr="00460454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appropriate study leadership.</w:t>
      </w:r>
    </w:p>
    <w:p w14:paraId="3C5F57E3" w14:textId="77777777" w:rsidR="003775DB" w:rsidRPr="00460454" w:rsidRDefault="00000000">
      <w:pPr>
        <w:pStyle w:val="Heading1"/>
        <w:rPr>
          <w:color w:val="000000" w:themeColor="text1"/>
        </w:rPr>
      </w:pPr>
      <w:r w:rsidRPr="00460454">
        <w:rPr>
          <w:color w:val="000000" w:themeColor="text1"/>
        </w:rPr>
        <w:t>6. Document Maintenance</w:t>
      </w:r>
    </w:p>
    <w:p w14:paraId="30BB647A" w14:textId="77777777" w:rsidR="003775DB" w:rsidRPr="00460454" w:rsidRDefault="00000000">
      <w:pPr>
        <w:rPr>
          <w:color w:val="000000" w:themeColor="text1"/>
        </w:rPr>
      </w:pPr>
      <w:r w:rsidRPr="00460454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200A5AF6" w14:textId="77777777" w:rsidR="003775DB" w:rsidRPr="00460454" w:rsidRDefault="00000000">
      <w:pPr>
        <w:pStyle w:val="Heading1"/>
        <w:rPr>
          <w:color w:val="000000" w:themeColor="text1"/>
        </w:rPr>
      </w:pPr>
      <w:r w:rsidRPr="00460454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3775DB" w:rsidRPr="00460454" w14:paraId="45AE95EC" w14:textId="77777777">
        <w:tc>
          <w:tcPr>
            <w:tcW w:w="2160" w:type="dxa"/>
          </w:tcPr>
          <w:p w14:paraId="48506383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4F0671C1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4546D8CC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49F7E23A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Description</w:t>
            </w:r>
          </w:p>
        </w:tc>
      </w:tr>
      <w:tr w:rsidR="003775DB" w:rsidRPr="00460454" w14:paraId="509F776C" w14:textId="77777777">
        <w:tc>
          <w:tcPr>
            <w:tcW w:w="2160" w:type="dxa"/>
          </w:tcPr>
          <w:p w14:paraId="55BA6A2E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6B8852AE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20-Dec-2026</w:t>
            </w:r>
          </w:p>
        </w:tc>
        <w:tc>
          <w:tcPr>
            <w:tcW w:w="2160" w:type="dxa"/>
          </w:tcPr>
          <w:p w14:paraId="67D8D398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Clinical Operations</w:t>
            </w:r>
          </w:p>
        </w:tc>
        <w:tc>
          <w:tcPr>
            <w:tcW w:w="2160" w:type="dxa"/>
          </w:tcPr>
          <w:p w14:paraId="043A6E20" w14:textId="77777777" w:rsidR="003775DB" w:rsidRPr="00460454" w:rsidRDefault="00000000">
            <w:pPr>
              <w:rPr>
                <w:color w:val="000000" w:themeColor="text1"/>
              </w:rPr>
            </w:pPr>
            <w:r w:rsidRPr="00460454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10B5541C" w14:textId="77777777" w:rsidR="003775DB" w:rsidRPr="00460454" w:rsidRDefault="00000000">
      <w:pPr>
        <w:rPr>
          <w:color w:val="000000" w:themeColor="text1"/>
        </w:rPr>
      </w:pPr>
      <w:r w:rsidRPr="00460454">
        <w:rPr>
          <w:b/>
          <w:color w:val="000000" w:themeColor="text1"/>
        </w:rPr>
        <w:t xml:space="preserve">TRAINING USE ONLY — </w:t>
      </w:r>
      <w:r w:rsidRPr="00460454">
        <w:rPr>
          <w:color w:val="000000" w:themeColor="text1"/>
        </w:rPr>
        <w:t>This document is fictional and is not a record from a real clinical trial.</w:t>
      </w:r>
    </w:p>
    <w:sectPr w:rsidR="003775DB" w:rsidRPr="004604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6933796">
    <w:abstractNumId w:val="8"/>
  </w:num>
  <w:num w:numId="2" w16cid:durableId="2013532385">
    <w:abstractNumId w:val="6"/>
  </w:num>
  <w:num w:numId="3" w16cid:durableId="342173813">
    <w:abstractNumId w:val="5"/>
  </w:num>
  <w:num w:numId="4" w16cid:durableId="992565552">
    <w:abstractNumId w:val="4"/>
  </w:num>
  <w:num w:numId="5" w16cid:durableId="1250650300">
    <w:abstractNumId w:val="7"/>
  </w:num>
  <w:num w:numId="6" w16cid:durableId="317655027">
    <w:abstractNumId w:val="3"/>
  </w:num>
  <w:num w:numId="7" w16cid:durableId="1578317609">
    <w:abstractNumId w:val="2"/>
  </w:num>
  <w:num w:numId="8" w16cid:durableId="630400315">
    <w:abstractNumId w:val="1"/>
  </w:num>
  <w:num w:numId="9" w16cid:durableId="157720212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75DB"/>
    <w:rsid w:val="00460454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A0DBF27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2026-08-18T18:50:00Z</dcterms:created>
  <dcterms:modified xsi:type="dcterms:W3CDTF">2026-08-18T18:50:00Z</dcterms:modified>
  <cp:category/>
</cp:coreProperties>
</file>