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05DE3A" w14:textId="77777777" w:rsidR="002F0050" w:rsidRPr="004B208B" w:rsidRDefault="00000000">
      <w:pPr>
        <w:jc w:val="center"/>
        <w:rPr>
          <w:color w:val="000000" w:themeColor="text1"/>
        </w:rPr>
      </w:pPr>
      <w:r w:rsidRPr="004B208B">
        <w:rPr>
          <w:b/>
          <w:color w:val="000000" w:themeColor="text1"/>
          <w:sz w:val="36"/>
        </w:rPr>
        <w:t>INVESTIGATIONAL PRODUCT MANAGEMENT PLAN</w:t>
      </w:r>
    </w:p>
    <w:p w14:paraId="362B059A" w14:textId="77777777" w:rsidR="002F0050" w:rsidRPr="004B208B" w:rsidRDefault="00000000">
      <w:pPr>
        <w:jc w:val="center"/>
        <w:rPr>
          <w:color w:val="000000" w:themeColor="text1"/>
        </w:rPr>
      </w:pPr>
      <w:r w:rsidRPr="004B208B">
        <w:rPr>
          <w:b/>
          <w:color w:val="000000" w:themeColor="text1"/>
          <w:sz w:val="26"/>
        </w:rPr>
        <w:t>IMM-2026-001</w:t>
      </w:r>
    </w:p>
    <w:p w14:paraId="2B82B712" w14:textId="77777777" w:rsidR="002F0050" w:rsidRPr="004B208B" w:rsidRDefault="00000000">
      <w:pPr>
        <w:jc w:val="center"/>
        <w:rPr>
          <w:color w:val="000000" w:themeColor="text1"/>
        </w:rPr>
      </w:pPr>
      <w:r w:rsidRPr="004B208B">
        <w:rPr>
          <w:i/>
          <w:color w:val="000000" w:themeColor="text1"/>
        </w:rPr>
        <w:t>Version 1.0</w:t>
      </w:r>
    </w:p>
    <w:p w14:paraId="50B5FB04" w14:textId="77777777" w:rsidR="002F0050" w:rsidRPr="004B208B" w:rsidRDefault="00000000">
      <w:pPr>
        <w:pStyle w:val="Heading1"/>
        <w:rPr>
          <w:color w:val="000000" w:themeColor="text1"/>
        </w:rPr>
      </w:pPr>
      <w:r w:rsidRPr="004B208B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2F0050" w:rsidRPr="004B208B" w14:paraId="2042770A" w14:textId="77777777">
        <w:trPr>
          <w:jc w:val="center"/>
        </w:trPr>
        <w:tc>
          <w:tcPr>
            <w:tcW w:w="4320" w:type="dxa"/>
          </w:tcPr>
          <w:p w14:paraId="706B9B3F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B2FB512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Investigational Product Management Plan</w:t>
            </w:r>
          </w:p>
        </w:tc>
      </w:tr>
      <w:tr w:rsidR="002F0050" w:rsidRPr="004B208B" w14:paraId="2EE42120" w14:textId="77777777">
        <w:trPr>
          <w:jc w:val="center"/>
        </w:trPr>
        <w:tc>
          <w:tcPr>
            <w:tcW w:w="4320" w:type="dxa"/>
          </w:tcPr>
          <w:p w14:paraId="30DD8C15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E53C61D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DOC-0062</w:t>
            </w:r>
          </w:p>
        </w:tc>
      </w:tr>
      <w:tr w:rsidR="002F0050" w:rsidRPr="004B208B" w14:paraId="4A07FF81" w14:textId="77777777">
        <w:trPr>
          <w:jc w:val="center"/>
        </w:trPr>
        <w:tc>
          <w:tcPr>
            <w:tcW w:w="4320" w:type="dxa"/>
          </w:tcPr>
          <w:p w14:paraId="00D79342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6938FB27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06.01.01</w:t>
            </w:r>
          </w:p>
        </w:tc>
      </w:tr>
      <w:tr w:rsidR="002F0050" w:rsidRPr="004B208B" w14:paraId="232CFC70" w14:textId="77777777">
        <w:trPr>
          <w:jc w:val="center"/>
        </w:trPr>
        <w:tc>
          <w:tcPr>
            <w:tcW w:w="4320" w:type="dxa"/>
          </w:tcPr>
          <w:p w14:paraId="2FE1D23A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054AD729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IMM-2026-001</w:t>
            </w:r>
          </w:p>
        </w:tc>
      </w:tr>
      <w:tr w:rsidR="002F0050" w:rsidRPr="004B208B" w14:paraId="3E8F1CFE" w14:textId="77777777">
        <w:trPr>
          <w:jc w:val="center"/>
        </w:trPr>
        <w:tc>
          <w:tcPr>
            <w:tcW w:w="4320" w:type="dxa"/>
          </w:tcPr>
          <w:p w14:paraId="0FDD258A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31F5D23C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Fictional Pharma Ltd.</w:t>
            </w:r>
          </w:p>
        </w:tc>
      </w:tr>
      <w:tr w:rsidR="002F0050" w:rsidRPr="004B208B" w14:paraId="721DCF36" w14:textId="77777777">
        <w:trPr>
          <w:jc w:val="center"/>
        </w:trPr>
        <w:tc>
          <w:tcPr>
            <w:tcW w:w="4320" w:type="dxa"/>
          </w:tcPr>
          <w:p w14:paraId="135803E8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329AA7A2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Immunology / Allergy</w:t>
            </w:r>
          </w:p>
        </w:tc>
      </w:tr>
      <w:tr w:rsidR="002F0050" w:rsidRPr="004B208B" w14:paraId="21CD1789" w14:textId="77777777">
        <w:trPr>
          <w:jc w:val="center"/>
        </w:trPr>
        <w:tc>
          <w:tcPr>
            <w:tcW w:w="4320" w:type="dxa"/>
          </w:tcPr>
          <w:p w14:paraId="7CA330E4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B9798C9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Moderate-to-Severe Atopic Dermatitis</w:t>
            </w:r>
          </w:p>
        </w:tc>
      </w:tr>
      <w:tr w:rsidR="002F0050" w:rsidRPr="004B208B" w14:paraId="07ED2B5E" w14:textId="77777777">
        <w:trPr>
          <w:jc w:val="center"/>
        </w:trPr>
        <w:tc>
          <w:tcPr>
            <w:tcW w:w="4320" w:type="dxa"/>
          </w:tcPr>
          <w:p w14:paraId="540CA54E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042E8691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Phase II</w:t>
            </w:r>
          </w:p>
        </w:tc>
      </w:tr>
      <w:tr w:rsidR="002F0050" w:rsidRPr="004B208B" w14:paraId="6175D986" w14:textId="77777777">
        <w:trPr>
          <w:jc w:val="center"/>
        </w:trPr>
        <w:tc>
          <w:tcPr>
            <w:tcW w:w="4320" w:type="dxa"/>
          </w:tcPr>
          <w:p w14:paraId="30A55B97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52B76A4C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Randomized, Double-Blind, Placebo-Controlled</w:t>
            </w:r>
          </w:p>
        </w:tc>
      </w:tr>
      <w:tr w:rsidR="002F0050" w:rsidRPr="004B208B" w14:paraId="6691D768" w14:textId="77777777">
        <w:trPr>
          <w:jc w:val="center"/>
        </w:trPr>
        <w:tc>
          <w:tcPr>
            <w:tcW w:w="4320" w:type="dxa"/>
          </w:tcPr>
          <w:p w14:paraId="0126C373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724B71E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IMM-101</w:t>
            </w:r>
          </w:p>
        </w:tc>
      </w:tr>
      <w:tr w:rsidR="002F0050" w:rsidRPr="004B208B" w14:paraId="2EE9A980" w14:textId="77777777">
        <w:trPr>
          <w:jc w:val="center"/>
        </w:trPr>
        <w:tc>
          <w:tcPr>
            <w:tcW w:w="4320" w:type="dxa"/>
          </w:tcPr>
          <w:p w14:paraId="0401B077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4FDB6620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Trial / Site</w:t>
            </w:r>
          </w:p>
        </w:tc>
      </w:tr>
      <w:tr w:rsidR="002F0050" w:rsidRPr="004B208B" w14:paraId="1D6209F5" w14:textId="77777777">
        <w:trPr>
          <w:jc w:val="center"/>
        </w:trPr>
        <w:tc>
          <w:tcPr>
            <w:tcW w:w="4320" w:type="dxa"/>
          </w:tcPr>
          <w:p w14:paraId="55185F1A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23054CDA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Türkiye</w:t>
            </w:r>
          </w:p>
        </w:tc>
      </w:tr>
      <w:tr w:rsidR="002F0050" w:rsidRPr="004B208B" w14:paraId="41816A53" w14:textId="77777777">
        <w:trPr>
          <w:jc w:val="center"/>
        </w:trPr>
        <w:tc>
          <w:tcPr>
            <w:tcW w:w="4320" w:type="dxa"/>
          </w:tcPr>
          <w:p w14:paraId="5524CFC6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0043BB9F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Representative Study Site</w:t>
            </w:r>
          </w:p>
        </w:tc>
      </w:tr>
      <w:tr w:rsidR="002F0050" w:rsidRPr="004B208B" w14:paraId="081D49BA" w14:textId="77777777">
        <w:trPr>
          <w:jc w:val="center"/>
        </w:trPr>
        <w:tc>
          <w:tcPr>
            <w:tcW w:w="4320" w:type="dxa"/>
          </w:tcPr>
          <w:p w14:paraId="1CD8C866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438CB58A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1.0</w:t>
            </w:r>
          </w:p>
        </w:tc>
      </w:tr>
      <w:tr w:rsidR="002F0050" w:rsidRPr="004B208B" w14:paraId="51F8527E" w14:textId="77777777">
        <w:trPr>
          <w:jc w:val="center"/>
        </w:trPr>
        <w:tc>
          <w:tcPr>
            <w:tcW w:w="4320" w:type="dxa"/>
          </w:tcPr>
          <w:p w14:paraId="66A208D5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7139D048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Effective</w:t>
            </w:r>
          </w:p>
        </w:tc>
      </w:tr>
      <w:tr w:rsidR="002F0050" w:rsidRPr="004B208B" w14:paraId="6625FA1B" w14:textId="77777777">
        <w:trPr>
          <w:jc w:val="center"/>
        </w:trPr>
        <w:tc>
          <w:tcPr>
            <w:tcW w:w="4320" w:type="dxa"/>
          </w:tcPr>
          <w:p w14:paraId="3E817AAC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084BFC98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02-Jan-2027</w:t>
            </w:r>
          </w:p>
        </w:tc>
      </w:tr>
      <w:tr w:rsidR="002F0050" w:rsidRPr="004B208B" w14:paraId="3CC7CB03" w14:textId="77777777">
        <w:trPr>
          <w:jc w:val="center"/>
        </w:trPr>
        <w:tc>
          <w:tcPr>
            <w:tcW w:w="4320" w:type="dxa"/>
          </w:tcPr>
          <w:p w14:paraId="59F8C210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3739BB00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Clinical Operations</w:t>
            </w:r>
          </w:p>
        </w:tc>
      </w:tr>
    </w:tbl>
    <w:p w14:paraId="57C40E07" w14:textId="77777777" w:rsidR="002F0050" w:rsidRPr="004B208B" w:rsidRDefault="00000000">
      <w:pPr>
        <w:pStyle w:val="Heading1"/>
        <w:rPr>
          <w:color w:val="000000" w:themeColor="text1"/>
        </w:rPr>
      </w:pPr>
      <w:r w:rsidRPr="004B208B">
        <w:rPr>
          <w:color w:val="000000" w:themeColor="text1"/>
        </w:rPr>
        <w:t>1. Purpose</w:t>
      </w:r>
    </w:p>
    <w:p w14:paraId="175AF784" w14:textId="77777777" w:rsidR="002F0050" w:rsidRPr="004B208B" w:rsidRDefault="00000000">
      <w:pPr>
        <w:rPr>
          <w:color w:val="000000" w:themeColor="text1"/>
        </w:rPr>
      </w:pPr>
      <w:r w:rsidRPr="004B208B">
        <w:rPr>
          <w:color w:val="000000" w:themeColor="text1"/>
        </w:rPr>
        <w:t>Defines the study-level approach for receipt, storage, accountability, reconciliation, dispensing, return, and destruction of investigational product.</w:t>
      </w:r>
    </w:p>
    <w:p w14:paraId="17D635AF" w14:textId="77777777" w:rsidR="002F0050" w:rsidRPr="004B208B" w:rsidRDefault="00000000">
      <w:pPr>
        <w:pStyle w:val="Heading1"/>
        <w:rPr>
          <w:color w:val="000000" w:themeColor="text1"/>
        </w:rPr>
      </w:pPr>
      <w:r w:rsidRPr="004B208B">
        <w:rPr>
          <w:color w:val="000000" w:themeColor="text1"/>
        </w:rPr>
        <w:t>2. Study Context</w:t>
      </w:r>
    </w:p>
    <w:p w14:paraId="0FD62CEE" w14:textId="77777777" w:rsidR="002F0050" w:rsidRPr="004B208B" w:rsidRDefault="00000000">
      <w:pPr>
        <w:rPr>
          <w:color w:val="000000" w:themeColor="text1"/>
        </w:rPr>
      </w:pPr>
      <w:r w:rsidRPr="004B208B">
        <w:rPr>
          <w:color w:val="000000" w:themeColor="text1"/>
        </w:rPr>
        <w:t>This document applies to the fictional IMM-2026-001 Phase II clinical trial and supports controlled management, traceability, accountability, and inspection readiness for investigational product and trial supplies.</w:t>
      </w:r>
    </w:p>
    <w:p w14:paraId="26865C56" w14:textId="77777777" w:rsidR="002F0050" w:rsidRPr="004B208B" w:rsidRDefault="00000000">
      <w:pPr>
        <w:pStyle w:val="Heading1"/>
        <w:rPr>
          <w:color w:val="000000" w:themeColor="text1"/>
        </w:rPr>
      </w:pPr>
      <w:r w:rsidRPr="004B208B">
        <w:rPr>
          <w:color w:val="000000" w:themeColor="text1"/>
        </w:rPr>
        <w:t>3. Governance and Responsibilities</w:t>
      </w:r>
    </w:p>
    <w:p w14:paraId="0B9119B9" w14:textId="77777777" w:rsidR="002F0050" w:rsidRPr="004B208B" w:rsidRDefault="00000000">
      <w:pPr>
        <w:rPr>
          <w:color w:val="000000" w:themeColor="text1"/>
        </w:rPr>
      </w:pPr>
      <w:r w:rsidRPr="004B208B">
        <w:rPr>
          <w:color w:val="000000" w:themeColor="text1"/>
        </w:rPr>
        <w:t>The document owner is Clinical Operations. Relevant stakeholders include Clinical Operations, Clinical Trial Management, Investigational Product Management, Quality Assurance, Supply Chain, investigators and site staff, and Document Management as applicable.</w:t>
      </w:r>
    </w:p>
    <w:p w14:paraId="589496D0" w14:textId="77777777" w:rsidR="002F0050" w:rsidRPr="004B208B" w:rsidRDefault="00000000">
      <w:pPr>
        <w:pStyle w:val="Heading1"/>
        <w:rPr>
          <w:color w:val="000000" w:themeColor="text1"/>
        </w:rPr>
      </w:pPr>
      <w:r w:rsidRPr="004B208B">
        <w:rPr>
          <w:color w:val="000000" w:themeColor="text1"/>
        </w:rPr>
        <w:lastRenderedPageBreak/>
        <w:t>4. Process Requirements</w:t>
      </w:r>
    </w:p>
    <w:p w14:paraId="576A83C6" w14:textId="77777777" w:rsidR="002F0050" w:rsidRPr="004B208B" w:rsidRDefault="00000000">
      <w:pPr>
        <w:rPr>
          <w:color w:val="000000" w:themeColor="text1"/>
        </w:rPr>
      </w:pPr>
      <w:r w:rsidRPr="004B208B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2C4E3772" w14:textId="77777777" w:rsidR="002F0050" w:rsidRPr="004B208B" w:rsidRDefault="00000000">
      <w:pPr>
        <w:pStyle w:val="Heading1"/>
        <w:rPr>
          <w:color w:val="000000" w:themeColor="text1"/>
        </w:rPr>
      </w:pPr>
      <w:r w:rsidRPr="004B208B">
        <w:rPr>
          <w:color w:val="000000" w:themeColor="text1"/>
        </w:rPr>
        <w:t>5. Oversight and Escalation</w:t>
      </w:r>
    </w:p>
    <w:p w14:paraId="4FB1D533" w14:textId="77777777" w:rsidR="002F0050" w:rsidRPr="004B208B" w:rsidRDefault="00000000">
      <w:pPr>
        <w:rPr>
          <w:color w:val="000000" w:themeColor="text1"/>
        </w:rPr>
      </w:pPr>
      <w:r w:rsidRPr="004B208B">
        <w:rPr>
          <w:color w:val="000000" w:themeColor="text1"/>
        </w:rPr>
        <w:t>Material discrepancies, excursions, accountability issues, product quality concerns, or supply risks will be documented and escalated to appropriate study leadership and quality functions.</w:t>
      </w:r>
    </w:p>
    <w:p w14:paraId="744CD59F" w14:textId="77777777" w:rsidR="002F0050" w:rsidRPr="004B208B" w:rsidRDefault="00000000">
      <w:pPr>
        <w:pStyle w:val="Heading1"/>
        <w:rPr>
          <w:color w:val="000000" w:themeColor="text1"/>
        </w:rPr>
      </w:pPr>
      <w:r w:rsidRPr="004B208B">
        <w:rPr>
          <w:color w:val="000000" w:themeColor="text1"/>
        </w:rPr>
        <w:t>6. Document Maintenance</w:t>
      </w:r>
    </w:p>
    <w:p w14:paraId="42AC3BA2" w14:textId="77777777" w:rsidR="002F0050" w:rsidRPr="004B208B" w:rsidRDefault="00000000">
      <w:pPr>
        <w:rPr>
          <w:color w:val="000000" w:themeColor="text1"/>
        </w:rPr>
      </w:pPr>
      <w:r w:rsidRPr="004B208B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64788DE4" w14:textId="77777777" w:rsidR="002F0050" w:rsidRPr="004B208B" w:rsidRDefault="00000000">
      <w:pPr>
        <w:pStyle w:val="Heading1"/>
        <w:rPr>
          <w:color w:val="000000" w:themeColor="text1"/>
        </w:rPr>
      </w:pPr>
      <w:r w:rsidRPr="004B208B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2F0050" w:rsidRPr="004B208B" w14:paraId="2A7D1C01" w14:textId="77777777">
        <w:tc>
          <w:tcPr>
            <w:tcW w:w="2160" w:type="dxa"/>
          </w:tcPr>
          <w:p w14:paraId="7FE84E13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0E081E79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6885CD43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70208437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Description</w:t>
            </w:r>
          </w:p>
        </w:tc>
      </w:tr>
      <w:tr w:rsidR="002F0050" w:rsidRPr="004B208B" w14:paraId="7F764972" w14:textId="77777777">
        <w:tc>
          <w:tcPr>
            <w:tcW w:w="2160" w:type="dxa"/>
          </w:tcPr>
          <w:p w14:paraId="1CA82D1B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7AD71702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02-Jan-2027</w:t>
            </w:r>
          </w:p>
        </w:tc>
        <w:tc>
          <w:tcPr>
            <w:tcW w:w="2160" w:type="dxa"/>
          </w:tcPr>
          <w:p w14:paraId="289A9C64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4E6E7B20" w14:textId="77777777" w:rsidR="002F0050" w:rsidRPr="004B208B" w:rsidRDefault="00000000">
            <w:pPr>
              <w:rPr>
                <w:color w:val="000000" w:themeColor="text1"/>
              </w:rPr>
            </w:pPr>
            <w:r w:rsidRPr="004B208B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77EC9DE9" w14:textId="77777777" w:rsidR="002F0050" w:rsidRPr="004B208B" w:rsidRDefault="00000000">
      <w:pPr>
        <w:rPr>
          <w:color w:val="000000" w:themeColor="text1"/>
        </w:rPr>
      </w:pPr>
      <w:r w:rsidRPr="004B208B">
        <w:rPr>
          <w:b/>
          <w:color w:val="000000" w:themeColor="text1"/>
        </w:rPr>
        <w:t xml:space="preserve">TRAINING USE ONLY — </w:t>
      </w:r>
      <w:r w:rsidRPr="004B208B">
        <w:rPr>
          <w:color w:val="000000" w:themeColor="text1"/>
        </w:rPr>
        <w:t>This document is fictional and is not a record from a real clinical trial.</w:t>
      </w:r>
    </w:p>
    <w:sectPr w:rsidR="002F0050" w:rsidRPr="004B20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825092">
    <w:abstractNumId w:val="8"/>
  </w:num>
  <w:num w:numId="2" w16cid:durableId="717120452">
    <w:abstractNumId w:val="6"/>
  </w:num>
  <w:num w:numId="3" w16cid:durableId="865409128">
    <w:abstractNumId w:val="5"/>
  </w:num>
  <w:num w:numId="4" w16cid:durableId="1692604718">
    <w:abstractNumId w:val="4"/>
  </w:num>
  <w:num w:numId="5" w16cid:durableId="273905018">
    <w:abstractNumId w:val="7"/>
  </w:num>
  <w:num w:numId="6" w16cid:durableId="166754679">
    <w:abstractNumId w:val="3"/>
  </w:num>
  <w:num w:numId="7" w16cid:durableId="579291594">
    <w:abstractNumId w:val="2"/>
  </w:num>
  <w:num w:numId="8" w16cid:durableId="481893998">
    <w:abstractNumId w:val="1"/>
  </w:num>
  <w:num w:numId="9" w16cid:durableId="6721039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050"/>
    <w:rsid w:val="00326F90"/>
    <w:rsid w:val="004B208B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3CA2BF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2026-08-18T18:54:00Z</dcterms:created>
  <dcterms:modified xsi:type="dcterms:W3CDTF">2026-08-18T18:54:00Z</dcterms:modified>
  <cp:category/>
</cp:coreProperties>
</file>