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588606" w14:textId="77777777" w:rsidR="00665513" w:rsidRPr="00F00751" w:rsidRDefault="00000000">
      <w:pPr>
        <w:jc w:val="center"/>
        <w:rPr>
          <w:color w:val="000000" w:themeColor="text1"/>
        </w:rPr>
      </w:pPr>
      <w:r w:rsidRPr="00F00751">
        <w:rPr>
          <w:b/>
          <w:color w:val="000000" w:themeColor="text1"/>
          <w:sz w:val="36"/>
        </w:rPr>
        <w:t>LABORATORY MANUAL</w:t>
      </w:r>
    </w:p>
    <w:p w14:paraId="4B1A6E2B" w14:textId="77777777" w:rsidR="00665513" w:rsidRPr="00F00751" w:rsidRDefault="00000000">
      <w:pPr>
        <w:jc w:val="center"/>
        <w:rPr>
          <w:color w:val="000000" w:themeColor="text1"/>
        </w:rPr>
      </w:pPr>
      <w:r w:rsidRPr="00F00751">
        <w:rPr>
          <w:b/>
          <w:color w:val="000000" w:themeColor="text1"/>
          <w:sz w:val="26"/>
        </w:rPr>
        <w:t>IMM-2026-001</w:t>
      </w:r>
    </w:p>
    <w:p w14:paraId="5001473B" w14:textId="77777777" w:rsidR="00665513" w:rsidRPr="00F00751" w:rsidRDefault="00000000">
      <w:pPr>
        <w:jc w:val="center"/>
        <w:rPr>
          <w:color w:val="000000" w:themeColor="text1"/>
        </w:rPr>
      </w:pPr>
      <w:r w:rsidRPr="00F00751">
        <w:rPr>
          <w:i/>
          <w:color w:val="000000" w:themeColor="text1"/>
        </w:rPr>
        <w:t>Version 1.0</w:t>
      </w:r>
    </w:p>
    <w:p w14:paraId="5C167394" w14:textId="77777777" w:rsidR="00665513" w:rsidRPr="00F00751" w:rsidRDefault="00000000">
      <w:pPr>
        <w:pStyle w:val="Heading1"/>
        <w:rPr>
          <w:color w:val="000000" w:themeColor="text1"/>
        </w:rPr>
      </w:pPr>
      <w:r w:rsidRPr="00F00751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665513" w:rsidRPr="00F00751" w14:paraId="6AD20172" w14:textId="77777777">
        <w:trPr>
          <w:jc w:val="center"/>
        </w:trPr>
        <w:tc>
          <w:tcPr>
            <w:tcW w:w="4320" w:type="dxa"/>
          </w:tcPr>
          <w:p w14:paraId="645CEA1A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5B8DD284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Laboratory Manual</w:t>
            </w:r>
          </w:p>
        </w:tc>
      </w:tr>
      <w:tr w:rsidR="00665513" w:rsidRPr="00F00751" w14:paraId="01F7D90A" w14:textId="77777777">
        <w:trPr>
          <w:jc w:val="center"/>
        </w:trPr>
        <w:tc>
          <w:tcPr>
            <w:tcW w:w="4320" w:type="dxa"/>
          </w:tcPr>
          <w:p w14:paraId="158E570C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10AE18BE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DOC-0084</w:t>
            </w:r>
          </w:p>
        </w:tc>
      </w:tr>
      <w:tr w:rsidR="00665513" w:rsidRPr="00F00751" w14:paraId="676CDA14" w14:textId="77777777">
        <w:trPr>
          <w:jc w:val="center"/>
        </w:trPr>
        <w:tc>
          <w:tcPr>
            <w:tcW w:w="4320" w:type="dxa"/>
          </w:tcPr>
          <w:p w14:paraId="1C4E07F6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8942C1A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08.01.02</w:t>
            </w:r>
          </w:p>
        </w:tc>
      </w:tr>
      <w:tr w:rsidR="00665513" w:rsidRPr="00F00751" w14:paraId="624DAF5C" w14:textId="77777777">
        <w:trPr>
          <w:jc w:val="center"/>
        </w:trPr>
        <w:tc>
          <w:tcPr>
            <w:tcW w:w="4320" w:type="dxa"/>
          </w:tcPr>
          <w:p w14:paraId="55F71C0A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03FB7F42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IMM-2026-001</w:t>
            </w:r>
          </w:p>
        </w:tc>
      </w:tr>
      <w:tr w:rsidR="00665513" w:rsidRPr="00F00751" w14:paraId="30DA21DC" w14:textId="77777777">
        <w:trPr>
          <w:jc w:val="center"/>
        </w:trPr>
        <w:tc>
          <w:tcPr>
            <w:tcW w:w="4320" w:type="dxa"/>
          </w:tcPr>
          <w:p w14:paraId="594D58F4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75A5E23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Fictional Pharma Ltd.</w:t>
            </w:r>
          </w:p>
        </w:tc>
      </w:tr>
      <w:tr w:rsidR="00665513" w:rsidRPr="00F00751" w14:paraId="132D66B8" w14:textId="77777777">
        <w:trPr>
          <w:jc w:val="center"/>
        </w:trPr>
        <w:tc>
          <w:tcPr>
            <w:tcW w:w="4320" w:type="dxa"/>
          </w:tcPr>
          <w:p w14:paraId="3B51B0CA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47F8143E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Immunology / Allergy</w:t>
            </w:r>
          </w:p>
        </w:tc>
      </w:tr>
      <w:tr w:rsidR="00665513" w:rsidRPr="00F00751" w14:paraId="47B108F5" w14:textId="77777777">
        <w:trPr>
          <w:jc w:val="center"/>
        </w:trPr>
        <w:tc>
          <w:tcPr>
            <w:tcW w:w="4320" w:type="dxa"/>
          </w:tcPr>
          <w:p w14:paraId="4FCA4C4D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1EDE0D4D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Moderate-to-Severe Atopic Dermatitis</w:t>
            </w:r>
          </w:p>
        </w:tc>
      </w:tr>
      <w:tr w:rsidR="00665513" w:rsidRPr="00F00751" w14:paraId="309645EE" w14:textId="77777777">
        <w:trPr>
          <w:jc w:val="center"/>
        </w:trPr>
        <w:tc>
          <w:tcPr>
            <w:tcW w:w="4320" w:type="dxa"/>
          </w:tcPr>
          <w:p w14:paraId="6DB16B81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4A761F29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Phase II</w:t>
            </w:r>
          </w:p>
        </w:tc>
      </w:tr>
      <w:tr w:rsidR="00665513" w:rsidRPr="00F00751" w14:paraId="631CEFA0" w14:textId="77777777">
        <w:trPr>
          <w:jc w:val="center"/>
        </w:trPr>
        <w:tc>
          <w:tcPr>
            <w:tcW w:w="4320" w:type="dxa"/>
          </w:tcPr>
          <w:p w14:paraId="100593BB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41011F5C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Randomized, Double-Blind, Placebo-Controlled</w:t>
            </w:r>
          </w:p>
        </w:tc>
      </w:tr>
      <w:tr w:rsidR="00665513" w:rsidRPr="00F00751" w14:paraId="631E3C41" w14:textId="77777777">
        <w:trPr>
          <w:jc w:val="center"/>
        </w:trPr>
        <w:tc>
          <w:tcPr>
            <w:tcW w:w="4320" w:type="dxa"/>
          </w:tcPr>
          <w:p w14:paraId="6821B9D8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70E382CF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IMM-101</w:t>
            </w:r>
          </w:p>
        </w:tc>
      </w:tr>
      <w:tr w:rsidR="00665513" w:rsidRPr="00F00751" w14:paraId="60F331FC" w14:textId="77777777">
        <w:trPr>
          <w:jc w:val="center"/>
        </w:trPr>
        <w:tc>
          <w:tcPr>
            <w:tcW w:w="4320" w:type="dxa"/>
          </w:tcPr>
          <w:p w14:paraId="19FA6999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36B1E035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Trial / Site</w:t>
            </w:r>
          </w:p>
        </w:tc>
      </w:tr>
      <w:tr w:rsidR="00665513" w:rsidRPr="00F00751" w14:paraId="08CCA5CD" w14:textId="77777777">
        <w:trPr>
          <w:jc w:val="center"/>
        </w:trPr>
        <w:tc>
          <w:tcPr>
            <w:tcW w:w="4320" w:type="dxa"/>
          </w:tcPr>
          <w:p w14:paraId="6CD17D7D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BC828A9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Global</w:t>
            </w:r>
          </w:p>
        </w:tc>
      </w:tr>
      <w:tr w:rsidR="00665513" w:rsidRPr="00F00751" w14:paraId="78CF1C00" w14:textId="77777777">
        <w:trPr>
          <w:jc w:val="center"/>
        </w:trPr>
        <w:tc>
          <w:tcPr>
            <w:tcW w:w="4320" w:type="dxa"/>
          </w:tcPr>
          <w:p w14:paraId="2E016B1C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776EF83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Representative Study Site</w:t>
            </w:r>
          </w:p>
        </w:tc>
      </w:tr>
      <w:tr w:rsidR="00665513" w:rsidRPr="00F00751" w14:paraId="488DBB28" w14:textId="77777777">
        <w:trPr>
          <w:jc w:val="center"/>
        </w:trPr>
        <w:tc>
          <w:tcPr>
            <w:tcW w:w="4320" w:type="dxa"/>
          </w:tcPr>
          <w:p w14:paraId="3C721AAB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0075F6E7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1.0</w:t>
            </w:r>
          </w:p>
        </w:tc>
      </w:tr>
      <w:tr w:rsidR="00665513" w:rsidRPr="00F00751" w14:paraId="45BC8C9F" w14:textId="77777777">
        <w:trPr>
          <w:jc w:val="center"/>
        </w:trPr>
        <w:tc>
          <w:tcPr>
            <w:tcW w:w="4320" w:type="dxa"/>
          </w:tcPr>
          <w:p w14:paraId="0051D311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5E1AD079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Effective</w:t>
            </w:r>
          </w:p>
        </w:tc>
      </w:tr>
      <w:tr w:rsidR="00665513" w:rsidRPr="00F00751" w14:paraId="224E33D3" w14:textId="77777777">
        <w:trPr>
          <w:jc w:val="center"/>
        </w:trPr>
        <w:tc>
          <w:tcPr>
            <w:tcW w:w="4320" w:type="dxa"/>
          </w:tcPr>
          <w:p w14:paraId="6D6B8FBE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2766003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10-Feb-2027</w:t>
            </w:r>
          </w:p>
        </w:tc>
      </w:tr>
      <w:tr w:rsidR="00665513" w:rsidRPr="00F00751" w14:paraId="7464DEE6" w14:textId="77777777">
        <w:trPr>
          <w:jc w:val="center"/>
        </w:trPr>
        <w:tc>
          <w:tcPr>
            <w:tcW w:w="4320" w:type="dxa"/>
          </w:tcPr>
          <w:p w14:paraId="2D26EC3C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494197AF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Laboratory Management</w:t>
            </w:r>
          </w:p>
        </w:tc>
      </w:tr>
    </w:tbl>
    <w:p w14:paraId="5CC824F3" w14:textId="77777777" w:rsidR="00665513" w:rsidRPr="00F00751" w:rsidRDefault="00000000">
      <w:pPr>
        <w:pStyle w:val="Heading1"/>
        <w:rPr>
          <w:color w:val="000000" w:themeColor="text1"/>
        </w:rPr>
      </w:pPr>
      <w:r w:rsidRPr="00F00751">
        <w:rPr>
          <w:color w:val="000000" w:themeColor="text1"/>
        </w:rPr>
        <w:t>1. Purpose</w:t>
      </w:r>
    </w:p>
    <w:p w14:paraId="053E60D0" w14:textId="77777777" w:rsidR="00665513" w:rsidRPr="00F00751" w:rsidRDefault="00000000">
      <w:pPr>
        <w:rPr>
          <w:color w:val="000000" w:themeColor="text1"/>
        </w:rPr>
      </w:pPr>
      <w:r w:rsidRPr="00F00751">
        <w:rPr>
          <w:color w:val="000000" w:themeColor="text1"/>
        </w:rPr>
        <w:t>Provides controlled operational instructions for collection, processing, storage, shipment, and testing of study samples.</w:t>
      </w:r>
    </w:p>
    <w:p w14:paraId="4514B992" w14:textId="77777777" w:rsidR="00665513" w:rsidRPr="00F00751" w:rsidRDefault="00000000">
      <w:pPr>
        <w:pStyle w:val="Heading1"/>
        <w:rPr>
          <w:color w:val="000000" w:themeColor="text1"/>
        </w:rPr>
      </w:pPr>
      <w:r w:rsidRPr="00F00751">
        <w:rPr>
          <w:color w:val="000000" w:themeColor="text1"/>
        </w:rPr>
        <w:t>2. Study Context</w:t>
      </w:r>
    </w:p>
    <w:p w14:paraId="471FDDBF" w14:textId="77777777" w:rsidR="00665513" w:rsidRPr="00F00751" w:rsidRDefault="00000000">
      <w:pPr>
        <w:rPr>
          <w:color w:val="000000" w:themeColor="text1"/>
        </w:rPr>
      </w:pPr>
      <w:r w:rsidRPr="00F00751">
        <w:rPr>
          <w:color w:val="000000" w:themeColor="text1"/>
        </w:rPr>
        <w:t>This document applies to the fictional IMM-2026-001 Phase II clinical trial and supports consistent, traceable centralized and local laboratory activities and inspection readiness.</w:t>
      </w:r>
    </w:p>
    <w:p w14:paraId="2C8ABBB5" w14:textId="77777777" w:rsidR="00665513" w:rsidRPr="00F00751" w:rsidRDefault="00000000">
      <w:pPr>
        <w:pStyle w:val="Heading1"/>
        <w:rPr>
          <w:color w:val="000000" w:themeColor="text1"/>
        </w:rPr>
      </w:pPr>
      <w:r w:rsidRPr="00F00751">
        <w:rPr>
          <w:color w:val="000000" w:themeColor="text1"/>
        </w:rPr>
        <w:t>3. Governance and Responsibilities</w:t>
      </w:r>
    </w:p>
    <w:p w14:paraId="614FE7FE" w14:textId="77777777" w:rsidR="00665513" w:rsidRPr="00F00751" w:rsidRDefault="00000000">
      <w:pPr>
        <w:rPr>
          <w:color w:val="000000" w:themeColor="text1"/>
        </w:rPr>
      </w:pPr>
      <w:r w:rsidRPr="00F00751">
        <w:rPr>
          <w:color w:val="000000" w:themeColor="text1"/>
        </w:rPr>
        <w:t>The document owner is Laboratory Management. Relevant stakeholders include Laboratory Management, Clinical Operations, Data Management, Quality Assurance, investigators and site staff, and Document Management as applicable.</w:t>
      </w:r>
    </w:p>
    <w:p w14:paraId="5183E1ED" w14:textId="77777777" w:rsidR="00665513" w:rsidRPr="00F00751" w:rsidRDefault="00000000">
      <w:pPr>
        <w:pStyle w:val="Heading1"/>
        <w:rPr>
          <w:color w:val="000000" w:themeColor="text1"/>
        </w:rPr>
      </w:pPr>
      <w:r w:rsidRPr="00F00751">
        <w:rPr>
          <w:color w:val="000000" w:themeColor="text1"/>
        </w:rPr>
        <w:lastRenderedPageBreak/>
        <w:t>4. Process Requirements</w:t>
      </w:r>
    </w:p>
    <w:p w14:paraId="4B7F1518" w14:textId="77777777" w:rsidR="00665513" w:rsidRPr="00F00751" w:rsidRDefault="00000000">
      <w:pPr>
        <w:rPr>
          <w:color w:val="000000" w:themeColor="text1"/>
        </w:rPr>
      </w:pPr>
      <w:r w:rsidRPr="00F00751">
        <w:rPr>
          <w:color w:val="000000" w:themeColor="text1"/>
        </w:rPr>
        <w:t>Activities covered by this document will be performed according to the approved protocol, applicable laboratory procedures, quality requirements, and relevant clinical-trial requirements. Records will be maintained in the applicable TMF location.</w:t>
      </w:r>
    </w:p>
    <w:p w14:paraId="655904F2" w14:textId="77777777" w:rsidR="00665513" w:rsidRPr="00F00751" w:rsidRDefault="00000000">
      <w:pPr>
        <w:pStyle w:val="Heading1"/>
        <w:rPr>
          <w:color w:val="000000" w:themeColor="text1"/>
        </w:rPr>
      </w:pPr>
      <w:r w:rsidRPr="00F00751">
        <w:rPr>
          <w:color w:val="000000" w:themeColor="text1"/>
        </w:rPr>
        <w:t>5. Oversight and Escalation</w:t>
      </w:r>
    </w:p>
    <w:p w14:paraId="231F9FD7" w14:textId="77777777" w:rsidR="00665513" w:rsidRPr="00F00751" w:rsidRDefault="00000000">
      <w:pPr>
        <w:rPr>
          <w:color w:val="000000" w:themeColor="text1"/>
        </w:rPr>
      </w:pPr>
      <w:r w:rsidRPr="00F00751">
        <w:rPr>
          <w:color w:val="000000" w:themeColor="text1"/>
        </w:rPr>
        <w:t>Material sample discrepancies, shipment issues, data transfer errors, quality concerns, or reconciliation exceptions will be documented and escalated to appropriate study leadership.</w:t>
      </w:r>
    </w:p>
    <w:p w14:paraId="0F43D27A" w14:textId="77777777" w:rsidR="00665513" w:rsidRPr="00F00751" w:rsidRDefault="00000000">
      <w:pPr>
        <w:pStyle w:val="Heading1"/>
        <w:rPr>
          <w:color w:val="000000" w:themeColor="text1"/>
        </w:rPr>
      </w:pPr>
      <w:r w:rsidRPr="00F00751">
        <w:rPr>
          <w:color w:val="000000" w:themeColor="text1"/>
        </w:rPr>
        <w:t>6. Document Maintenance</w:t>
      </w:r>
    </w:p>
    <w:p w14:paraId="37EE3DDB" w14:textId="77777777" w:rsidR="00665513" w:rsidRPr="00F00751" w:rsidRDefault="00000000">
      <w:pPr>
        <w:rPr>
          <w:color w:val="000000" w:themeColor="text1"/>
        </w:rPr>
      </w:pPr>
      <w:r w:rsidRPr="00F00751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49C7C27D" w14:textId="77777777" w:rsidR="00665513" w:rsidRPr="00F00751" w:rsidRDefault="00000000">
      <w:pPr>
        <w:pStyle w:val="Heading1"/>
        <w:rPr>
          <w:color w:val="000000" w:themeColor="text1"/>
        </w:rPr>
      </w:pPr>
      <w:r w:rsidRPr="00F00751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665513" w:rsidRPr="00F00751" w14:paraId="173208CC" w14:textId="77777777">
        <w:tc>
          <w:tcPr>
            <w:tcW w:w="2160" w:type="dxa"/>
          </w:tcPr>
          <w:p w14:paraId="0F7D1DA4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4DE6C317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28D73122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284AEC8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Description</w:t>
            </w:r>
          </w:p>
        </w:tc>
      </w:tr>
      <w:tr w:rsidR="00665513" w:rsidRPr="00F00751" w14:paraId="2A1C8C19" w14:textId="77777777">
        <w:tc>
          <w:tcPr>
            <w:tcW w:w="2160" w:type="dxa"/>
          </w:tcPr>
          <w:p w14:paraId="7588414A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73DA328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10-Feb-2027</w:t>
            </w:r>
          </w:p>
        </w:tc>
        <w:tc>
          <w:tcPr>
            <w:tcW w:w="2160" w:type="dxa"/>
          </w:tcPr>
          <w:p w14:paraId="62A8DEF7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Laboratory Management</w:t>
            </w:r>
          </w:p>
        </w:tc>
        <w:tc>
          <w:tcPr>
            <w:tcW w:w="2160" w:type="dxa"/>
          </w:tcPr>
          <w:p w14:paraId="037E94BB" w14:textId="77777777" w:rsidR="00665513" w:rsidRPr="00F00751" w:rsidRDefault="00000000">
            <w:pPr>
              <w:rPr>
                <w:color w:val="000000" w:themeColor="text1"/>
              </w:rPr>
            </w:pPr>
            <w:r w:rsidRPr="00F00751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24375D78" w14:textId="77777777" w:rsidR="00665513" w:rsidRPr="00F00751" w:rsidRDefault="00000000">
      <w:pPr>
        <w:rPr>
          <w:color w:val="000000" w:themeColor="text1"/>
        </w:rPr>
      </w:pPr>
      <w:r w:rsidRPr="00F00751">
        <w:rPr>
          <w:b/>
          <w:color w:val="000000" w:themeColor="text1"/>
        </w:rPr>
        <w:t xml:space="preserve">TRAINING USE ONLY — </w:t>
      </w:r>
      <w:r w:rsidRPr="00F00751">
        <w:rPr>
          <w:color w:val="000000" w:themeColor="text1"/>
        </w:rPr>
        <w:t>This document is fictional and is not a record from a real clinical trial.</w:t>
      </w:r>
    </w:p>
    <w:sectPr w:rsidR="00665513" w:rsidRPr="00F007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940830">
    <w:abstractNumId w:val="8"/>
  </w:num>
  <w:num w:numId="2" w16cid:durableId="717633175">
    <w:abstractNumId w:val="6"/>
  </w:num>
  <w:num w:numId="3" w16cid:durableId="1572232194">
    <w:abstractNumId w:val="5"/>
  </w:num>
  <w:num w:numId="4" w16cid:durableId="1840535593">
    <w:abstractNumId w:val="4"/>
  </w:num>
  <w:num w:numId="5" w16cid:durableId="141242589">
    <w:abstractNumId w:val="7"/>
  </w:num>
  <w:num w:numId="6" w16cid:durableId="802695596">
    <w:abstractNumId w:val="3"/>
  </w:num>
  <w:num w:numId="7" w16cid:durableId="1399399850">
    <w:abstractNumId w:val="2"/>
  </w:num>
  <w:num w:numId="8" w16cid:durableId="393509680">
    <w:abstractNumId w:val="1"/>
  </w:num>
  <w:num w:numId="9" w16cid:durableId="5942167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65513"/>
    <w:rsid w:val="00AA1D8D"/>
    <w:rsid w:val="00B47730"/>
    <w:rsid w:val="00CB0664"/>
    <w:rsid w:val="00D34426"/>
    <w:rsid w:val="00F007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67A42F3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2026-08-18T19:01:00Z</dcterms:created>
  <dcterms:modified xsi:type="dcterms:W3CDTF">2026-08-18T19:01:00Z</dcterms:modified>
  <cp:category/>
</cp:coreProperties>
</file>