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70670A" w14:textId="78668407" w:rsidR="009A7CB8" w:rsidRPr="00CB62B1" w:rsidRDefault="00000000">
      <w:pPr>
        <w:jc w:val="center"/>
        <w:rPr>
          <w:color w:val="000000" w:themeColor="text1"/>
        </w:rPr>
      </w:pPr>
      <w:r w:rsidRPr="00CB62B1">
        <w:rPr>
          <w:b/>
          <w:color w:val="000000" w:themeColor="text1"/>
          <w:sz w:val="36"/>
        </w:rPr>
        <w:t>VENDOR MANAGEMENT PLAN</w:t>
      </w:r>
    </w:p>
    <w:p w14:paraId="1F2DA6CD" w14:textId="77777777" w:rsidR="009A7CB8" w:rsidRPr="00CB62B1" w:rsidRDefault="00000000">
      <w:pPr>
        <w:jc w:val="center"/>
        <w:rPr>
          <w:color w:val="000000" w:themeColor="text1"/>
        </w:rPr>
      </w:pPr>
      <w:r w:rsidRPr="00CB62B1">
        <w:rPr>
          <w:b/>
          <w:color w:val="000000" w:themeColor="text1"/>
          <w:sz w:val="26"/>
        </w:rPr>
        <w:t>IMM-2026-001</w:t>
      </w:r>
    </w:p>
    <w:p w14:paraId="3564DAD8" w14:textId="77777777" w:rsidR="009A7CB8" w:rsidRPr="00CB62B1" w:rsidRDefault="00000000">
      <w:pPr>
        <w:jc w:val="center"/>
        <w:rPr>
          <w:color w:val="000000" w:themeColor="text1"/>
        </w:rPr>
      </w:pPr>
      <w:r w:rsidRPr="00CB62B1">
        <w:rPr>
          <w:i/>
          <w:color w:val="000000" w:themeColor="text1"/>
        </w:rPr>
        <w:t>Version 1.0</w:t>
      </w:r>
    </w:p>
    <w:p w14:paraId="792C582C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A7CB8" w:rsidRPr="00CB62B1" w14:paraId="1C123613" w14:textId="77777777">
        <w:trPr>
          <w:jc w:val="center"/>
        </w:trPr>
        <w:tc>
          <w:tcPr>
            <w:tcW w:w="4320" w:type="dxa"/>
          </w:tcPr>
          <w:p w14:paraId="353F89AB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1913E5C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Vendor Management Plan</w:t>
            </w:r>
          </w:p>
        </w:tc>
      </w:tr>
      <w:tr w:rsidR="009A7CB8" w:rsidRPr="00CB62B1" w14:paraId="6CF6F495" w14:textId="77777777">
        <w:trPr>
          <w:jc w:val="center"/>
        </w:trPr>
        <w:tc>
          <w:tcPr>
            <w:tcW w:w="4320" w:type="dxa"/>
          </w:tcPr>
          <w:p w14:paraId="01B14AE7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99324C9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DOC-0088</w:t>
            </w:r>
          </w:p>
        </w:tc>
      </w:tr>
      <w:tr w:rsidR="009A7CB8" w:rsidRPr="00CB62B1" w14:paraId="6674D551" w14:textId="77777777">
        <w:trPr>
          <w:jc w:val="center"/>
        </w:trPr>
        <w:tc>
          <w:tcPr>
            <w:tcW w:w="4320" w:type="dxa"/>
          </w:tcPr>
          <w:p w14:paraId="5911E67D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EC42965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09.01.01</w:t>
            </w:r>
          </w:p>
        </w:tc>
      </w:tr>
      <w:tr w:rsidR="009A7CB8" w:rsidRPr="00CB62B1" w14:paraId="5028D234" w14:textId="77777777">
        <w:trPr>
          <w:jc w:val="center"/>
        </w:trPr>
        <w:tc>
          <w:tcPr>
            <w:tcW w:w="4320" w:type="dxa"/>
          </w:tcPr>
          <w:p w14:paraId="2B286529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7BD9C7A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IMM-2026-001</w:t>
            </w:r>
          </w:p>
        </w:tc>
      </w:tr>
      <w:tr w:rsidR="009A7CB8" w:rsidRPr="00CB62B1" w14:paraId="51ED3559" w14:textId="77777777">
        <w:trPr>
          <w:jc w:val="center"/>
        </w:trPr>
        <w:tc>
          <w:tcPr>
            <w:tcW w:w="4320" w:type="dxa"/>
          </w:tcPr>
          <w:p w14:paraId="49150595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6840629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Fictional Pharma Ltd.</w:t>
            </w:r>
          </w:p>
        </w:tc>
      </w:tr>
      <w:tr w:rsidR="009A7CB8" w:rsidRPr="00CB62B1" w14:paraId="64FE0297" w14:textId="77777777">
        <w:trPr>
          <w:jc w:val="center"/>
        </w:trPr>
        <w:tc>
          <w:tcPr>
            <w:tcW w:w="4320" w:type="dxa"/>
          </w:tcPr>
          <w:p w14:paraId="14248B19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8F909E9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Immunology / Allergy</w:t>
            </w:r>
          </w:p>
        </w:tc>
      </w:tr>
      <w:tr w:rsidR="009A7CB8" w:rsidRPr="00CB62B1" w14:paraId="38537871" w14:textId="77777777">
        <w:trPr>
          <w:jc w:val="center"/>
        </w:trPr>
        <w:tc>
          <w:tcPr>
            <w:tcW w:w="4320" w:type="dxa"/>
          </w:tcPr>
          <w:p w14:paraId="7FB6379D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C807D4C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Moderate-to-Severe Atopic Dermatitis</w:t>
            </w:r>
          </w:p>
        </w:tc>
      </w:tr>
      <w:tr w:rsidR="009A7CB8" w:rsidRPr="00CB62B1" w14:paraId="7599F76B" w14:textId="77777777">
        <w:trPr>
          <w:jc w:val="center"/>
        </w:trPr>
        <w:tc>
          <w:tcPr>
            <w:tcW w:w="4320" w:type="dxa"/>
          </w:tcPr>
          <w:p w14:paraId="75406ADA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3502B4D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Phase II</w:t>
            </w:r>
          </w:p>
        </w:tc>
      </w:tr>
      <w:tr w:rsidR="009A7CB8" w:rsidRPr="00CB62B1" w14:paraId="10822AD8" w14:textId="77777777">
        <w:trPr>
          <w:jc w:val="center"/>
        </w:trPr>
        <w:tc>
          <w:tcPr>
            <w:tcW w:w="4320" w:type="dxa"/>
          </w:tcPr>
          <w:p w14:paraId="2EB5CAE5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F3572CF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Randomized, Double-Blind, Placebo-Controlled</w:t>
            </w:r>
          </w:p>
        </w:tc>
      </w:tr>
      <w:tr w:rsidR="009A7CB8" w:rsidRPr="00CB62B1" w14:paraId="6BE43714" w14:textId="77777777">
        <w:trPr>
          <w:jc w:val="center"/>
        </w:trPr>
        <w:tc>
          <w:tcPr>
            <w:tcW w:w="4320" w:type="dxa"/>
          </w:tcPr>
          <w:p w14:paraId="6CB26A6C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3A995CB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IMM-101</w:t>
            </w:r>
          </w:p>
        </w:tc>
      </w:tr>
      <w:tr w:rsidR="009A7CB8" w:rsidRPr="00CB62B1" w14:paraId="4C6BCBFA" w14:textId="77777777">
        <w:trPr>
          <w:jc w:val="center"/>
        </w:trPr>
        <w:tc>
          <w:tcPr>
            <w:tcW w:w="4320" w:type="dxa"/>
          </w:tcPr>
          <w:p w14:paraId="2D21EC28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96D97F8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Trial</w:t>
            </w:r>
          </w:p>
        </w:tc>
      </w:tr>
      <w:tr w:rsidR="009A7CB8" w:rsidRPr="00CB62B1" w14:paraId="4B050AF8" w14:textId="77777777">
        <w:trPr>
          <w:jc w:val="center"/>
        </w:trPr>
        <w:tc>
          <w:tcPr>
            <w:tcW w:w="4320" w:type="dxa"/>
          </w:tcPr>
          <w:p w14:paraId="5E7D0937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DD7632F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Global</w:t>
            </w:r>
          </w:p>
        </w:tc>
      </w:tr>
      <w:tr w:rsidR="009A7CB8" w:rsidRPr="00CB62B1" w14:paraId="586D8066" w14:textId="77777777">
        <w:trPr>
          <w:jc w:val="center"/>
        </w:trPr>
        <w:tc>
          <w:tcPr>
            <w:tcW w:w="4320" w:type="dxa"/>
          </w:tcPr>
          <w:p w14:paraId="1B82A08A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D559CCE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N/A</w:t>
            </w:r>
          </w:p>
        </w:tc>
      </w:tr>
      <w:tr w:rsidR="009A7CB8" w:rsidRPr="00CB62B1" w14:paraId="5020AFE5" w14:textId="77777777">
        <w:trPr>
          <w:jc w:val="center"/>
        </w:trPr>
        <w:tc>
          <w:tcPr>
            <w:tcW w:w="4320" w:type="dxa"/>
          </w:tcPr>
          <w:p w14:paraId="7BE3A2BE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6E73D1F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1.0</w:t>
            </w:r>
          </w:p>
        </w:tc>
      </w:tr>
      <w:tr w:rsidR="009A7CB8" w:rsidRPr="00CB62B1" w14:paraId="06936933" w14:textId="77777777">
        <w:trPr>
          <w:jc w:val="center"/>
        </w:trPr>
        <w:tc>
          <w:tcPr>
            <w:tcW w:w="4320" w:type="dxa"/>
          </w:tcPr>
          <w:p w14:paraId="1108B1AC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594BFEB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Effective</w:t>
            </w:r>
          </w:p>
        </w:tc>
      </w:tr>
      <w:tr w:rsidR="009A7CB8" w:rsidRPr="00CB62B1" w14:paraId="1588A2DA" w14:textId="77777777">
        <w:trPr>
          <w:jc w:val="center"/>
        </w:trPr>
        <w:tc>
          <w:tcPr>
            <w:tcW w:w="4320" w:type="dxa"/>
          </w:tcPr>
          <w:p w14:paraId="6037804C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C41DB58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20-Feb-2027</w:t>
            </w:r>
          </w:p>
        </w:tc>
      </w:tr>
      <w:tr w:rsidR="009A7CB8" w:rsidRPr="00CB62B1" w14:paraId="59C8EAD0" w14:textId="77777777">
        <w:trPr>
          <w:jc w:val="center"/>
        </w:trPr>
        <w:tc>
          <w:tcPr>
            <w:tcW w:w="4320" w:type="dxa"/>
          </w:tcPr>
          <w:p w14:paraId="35DC3D8B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D31C7C0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Vendor Management</w:t>
            </w:r>
          </w:p>
        </w:tc>
      </w:tr>
    </w:tbl>
    <w:p w14:paraId="0BE51425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t>1. Purpose</w:t>
      </w:r>
    </w:p>
    <w:p w14:paraId="6E42761A" w14:textId="77777777" w:rsidR="009A7CB8" w:rsidRPr="00CB62B1" w:rsidRDefault="00000000">
      <w:pPr>
        <w:rPr>
          <w:color w:val="000000" w:themeColor="text1"/>
        </w:rPr>
      </w:pPr>
      <w:r w:rsidRPr="00CB62B1">
        <w:rPr>
          <w:color w:val="000000" w:themeColor="text1"/>
        </w:rPr>
        <w:t>Defines the approach for oversight, communication, performance monitoring, issue escalation, and documentation of third-party vendors.</w:t>
      </w:r>
    </w:p>
    <w:p w14:paraId="06B9B929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t>2. Study Context</w:t>
      </w:r>
    </w:p>
    <w:p w14:paraId="1E011B29" w14:textId="77777777" w:rsidR="009A7CB8" w:rsidRPr="00CB62B1" w:rsidRDefault="00000000">
      <w:pPr>
        <w:rPr>
          <w:color w:val="000000" w:themeColor="text1"/>
        </w:rPr>
      </w:pPr>
      <w:r w:rsidRPr="00CB62B1">
        <w:rPr>
          <w:color w:val="000000" w:themeColor="text1"/>
        </w:rPr>
        <w:t>This document applies to the fictional IMM-2026-001 Phase II clinical trial and supports controlled third-party oversight, traceability, quality, and inspection readiness.</w:t>
      </w:r>
    </w:p>
    <w:p w14:paraId="2B7BAF64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t>3. Governance and Responsibilities</w:t>
      </w:r>
    </w:p>
    <w:p w14:paraId="43044B59" w14:textId="77777777" w:rsidR="009A7CB8" w:rsidRPr="00CB62B1" w:rsidRDefault="00000000">
      <w:pPr>
        <w:rPr>
          <w:color w:val="000000" w:themeColor="text1"/>
        </w:rPr>
      </w:pPr>
      <w:r w:rsidRPr="00CB62B1">
        <w:rPr>
          <w:color w:val="000000" w:themeColor="text1"/>
        </w:rPr>
        <w:t>The document owner is Vendor Management. Relevant stakeholders include Clinical Operations, Vendor Management, Quality Assurance, Procurement, Regulatory Affairs, Data Management, and Document Management as applicable.</w:t>
      </w:r>
    </w:p>
    <w:p w14:paraId="16CB5BC4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lastRenderedPageBreak/>
        <w:t>4. Process Requirements</w:t>
      </w:r>
    </w:p>
    <w:p w14:paraId="128C3E28" w14:textId="77777777" w:rsidR="009A7CB8" w:rsidRPr="00CB62B1" w:rsidRDefault="00000000">
      <w:pPr>
        <w:rPr>
          <w:color w:val="000000" w:themeColor="text1"/>
        </w:rPr>
      </w:pPr>
      <w:r w:rsidRPr="00CB62B1">
        <w:rPr>
          <w:color w:val="000000" w:themeColor="text1"/>
        </w:rPr>
        <w:t>Activities covered by this document will be performed according to applicable sponsor procedures, quality requirements, contractual expectations, and relevant clinical-trial requirements. Records will be maintained in the applicable TMF location.</w:t>
      </w:r>
    </w:p>
    <w:p w14:paraId="293930BE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t>5. Oversight and Escalation</w:t>
      </w:r>
    </w:p>
    <w:p w14:paraId="120FA2F2" w14:textId="77777777" w:rsidR="009A7CB8" w:rsidRPr="00CB62B1" w:rsidRDefault="00000000">
      <w:pPr>
        <w:rPr>
          <w:color w:val="000000" w:themeColor="text1"/>
        </w:rPr>
      </w:pPr>
      <w:r w:rsidRPr="00CB62B1">
        <w:rPr>
          <w:color w:val="000000" w:themeColor="text1"/>
        </w:rPr>
        <w:t>Material vendor risks, performance concerns, deviations, delays, or quality issues will be documented and escalated to appropriate study leadership.</w:t>
      </w:r>
    </w:p>
    <w:p w14:paraId="7CEAE10C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t>6. Document Maintenance</w:t>
      </w:r>
    </w:p>
    <w:p w14:paraId="59C87FF8" w14:textId="77777777" w:rsidR="009A7CB8" w:rsidRPr="00CB62B1" w:rsidRDefault="00000000">
      <w:pPr>
        <w:rPr>
          <w:color w:val="000000" w:themeColor="text1"/>
        </w:rPr>
      </w:pPr>
      <w:r w:rsidRPr="00CB62B1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7BE23B9C" w14:textId="77777777" w:rsidR="009A7CB8" w:rsidRPr="00CB62B1" w:rsidRDefault="00000000">
      <w:pPr>
        <w:pStyle w:val="Heading1"/>
        <w:rPr>
          <w:color w:val="000000" w:themeColor="text1"/>
        </w:rPr>
      </w:pPr>
      <w:r w:rsidRPr="00CB62B1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A7CB8" w:rsidRPr="00CB62B1" w14:paraId="5603A671" w14:textId="77777777">
        <w:tc>
          <w:tcPr>
            <w:tcW w:w="2160" w:type="dxa"/>
          </w:tcPr>
          <w:p w14:paraId="3115CCCE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C5EBB5A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9462E3B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46872AA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Description</w:t>
            </w:r>
          </w:p>
        </w:tc>
      </w:tr>
      <w:tr w:rsidR="009A7CB8" w:rsidRPr="00CB62B1" w14:paraId="11A0F56F" w14:textId="77777777">
        <w:tc>
          <w:tcPr>
            <w:tcW w:w="2160" w:type="dxa"/>
          </w:tcPr>
          <w:p w14:paraId="65153037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8E78EC9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20-Feb-2027</w:t>
            </w:r>
          </w:p>
        </w:tc>
        <w:tc>
          <w:tcPr>
            <w:tcW w:w="2160" w:type="dxa"/>
          </w:tcPr>
          <w:p w14:paraId="665DA8EE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Vendor Management</w:t>
            </w:r>
          </w:p>
        </w:tc>
        <w:tc>
          <w:tcPr>
            <w:tcW w:w="2160" w:type="dxa"/>
          </w:tcPr>
          <w:p w14:paraId="3226B2AA" w14:textId="77777777" w:rsidR="009A7CB8" w:rsidRPr="00CB62B1" w:rsidRDefault="00000000">
            <w:pPr>
              <w:rPr>
                <w:color w:val="000000" w:themeColor="text1"/>
              </w:rPr>
            </w:pPr>
            <w:r w:rsidRPr="00CB62B1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6F45659" w14:textId="77777777" w:rsidR="009A7CB8" w:rsidRPr="00CB62B1" w:rsidRDefault="00000000">
      <w:pPr>
        <w:rPr>
          <w:color w:val="000000" w:themeColor="text1"/>
        </w:rPr>
      </w:pPr>
      <w:r w:rsidRPr="00CB62B1">
        <w:rPr>
          <w:b/>
          <w:color w:val="000000" w:themeColor="text1"/>
        </w:rPr>
        <w:t xml:space="preserve">TRAINING USE ONLY — </w:t>
      </w:r>
      <w:r w:rsidRPr="00CB62B1">
        <w:rPr>
          <w:color w:val="000000" w:themeColor="text1"/>
        </w:rPr>
        <w:t>This document is fictional and is not a record from a real clinical trial.</w:t>
      </w:r>
    </w:p>
    <w:sectPr w:rsidR="009A7CB8" w:rsidRPr="00CB62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692305">
    <w:abstractNumId w:val="8"/>
  </w:num>
  <w:num w:numId="2" w16cid:durableId="163251859">
    <w:abstractNumId w:val="6"/>
  </w:num>
  <w:num w:numId="3" w16cid:durableId="1175999534">
    <w:abstractNumId w:val="5"/>
  </w:num>
  <w:num w:numId="4" w16cid:durableId="1184980023">
    <w:abstractNumId w:val="4"/>
  </w:num>
  <w:num w:numId="5" w16cid:durableId="599026063">
    <w:abstractNumId w:val="7"/>
  </w:num>
  <w:num w:numId="6" w16cid:durableId="612204045">
    <w:abstractNumId w:val="3"/>
  </w:num>
  <w:num w:numId="7" w16cid:durableId="1218787068">
    <w:abstractNumId w:val="2"/>
  </w:num>
  <w:num w:numId="8" w16cid:durableId="312804269">
    <w:abstractNumId w:val="1"/>
  </w:num>
  <w:num w:numId="9" w16cid:durableId="8985902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7CB8"/>
    <w:rsid w:val="00AA1D8D"/>
    <w:rsid w:val="00B47730"/>
    <w:rsid w:val="00CB0664"/>
    <w:rsid w:val="00CB62B1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3A915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2026-08-18T19:04:00Z</dcterms:created>
  <dcterms:modified xsi:type="dcterms:W3CDTF">2026-08-18T19:04:00Z</dcterms:modified>
  <cp:category/>
</cp:coreProperties>
</file>