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8CD5D" w14:textId="77777777" w:rsidR="000E6B55" w:rsidRPr="002F1F91" w:rsidRDefault="00000000">
      <w:pPr>
        <w:jc w:val="center"/>
        <w:rPr>
          <w:color w:val="000000" w:themeColor="text1"/>
        </w:rPr>
      </w:pPr>
      <w:r w:rsidRPr="002F1F91">
        <w:rPr>
          <w:b/>
          <w:color w:val="000000" w:themeColor="text1"/>
          <w:sz w:val="36"/>
        </w:rPr>
        <w:t>DATABASE LOCK PLAN</w:t>
      </w:r>
    </w:p>
    <w:p w14:paraId="4D4B4D0A" w14:textId="77777777" w:rsidR="000E6B55" w:rsidRPr="002F1F91" w:rsidRDefault="00000000">
      <w:pPr>
        <w:jc w:val="center"/>
        <w:rPr>
          <w:color w:val="000000" w:themeColor="text1"/>
        </w:rPr>
      </w:pPr>
      <w:r w:rsidRPr="002F1F91">
        <w:rPr>
          <w:b/>
          <w:color w:val="000000" w:themeColor="text1"/>
          <w:sz w:val="26"/>
        </w:rPr>
        <w:t>IMM-2026-001</w:t>
      </w:r>
    </w:p>
    <w:p w14:paraId="5CD753D2" w14:textId="77777777" w:rsidR="000E6B55" w:rsidRPr="002F1F91" w:rsidRDefault="00000000">
      <w:pPr>
        <w:jc w:val="center"/>
        <w:rPr>
          <w:color w:val="000000" w:themeColor="text1"/>
        </w:rPr>
      </w:pPr>
      <w:r w:rsidRPr="002F1F91">
        <w:rPr>
          <w:i/>
          <w:color w:val="000000" w:themeColor="text1"/>
        </w:rPr>
        <w:t>Version 1.0</w:t>
      </w:r>
    </w:p>
    <w:p w14:paraId="4BB77B4D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E6B55" w:rsidRPr="002F1F91" w14:paraId="693C771F" w14:textId="77777777">
        <w:trPr>
          <w:jc w:val="center"/>
        </w:trPr>
        <w:tc>
          <w:tcPr>
            <w:tcW w:w="4320" w:type="dxa"/>
          </w:tcPr>
          <w:p w14:paraId="590214E9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FE9039D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Database Lock Plan</w:t>
            </w:r>
          </w:p>
        </w:tc>
      </w:tr>
      <w:tr w:rsidR="000E6B55" w:rsidRPr="002F1F91" w14:paraId="4EA770F2" w14:textId="77777777">
        <w:trPr>
          <w:jc w:val="center"/>
        </w:trPr>
        <w:tc>
          <w:tcPr>
            <w:tcW w:w="4320" w:type="dxa"/>
          </w:tcPr>
          <w:p w14:paraId="4FB2DF57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C2EE8D8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DOC-0099</w:t>
            </w:r>
          </w:p>
        </w:tc>
      </w:tr>
      <w:tr w:rsidR="000E6B55" w:rsidRPr="002F1F91" w14:paraId="0CB13B94" w14:textId="77777777">
        <w:trPr>
          <w:jc w:val="center"/>
        </w:trPr>
        <w:tc>
          <w:tcPr>
            <w:tcW w:w="4320" w:type="dxa"/>
          </w:tcPr>
          <w:p w14:paraId="08A4E2E3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8A0D251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10.01.06</w:t>
            </w:r>
          </w:p>
        </w:tc>
      </w:tr>
      <w:tr w:rsidR="000E6B55" w:rsidRPr="002F1F91" w14:paraId="7FDBE04B" w14:textId="77777777">
        <w:trPr>
          <w:jc w:val="center"/>
        </w:trPr>
        <w:tc>
          <w:tcPr>
            <w:tcW w:w="4320" w:type="dxa"/>
          </w:tcPr>
          <w:p w14:paraId="0647618E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B762E51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IMM-2026-001</w:t>
            </w:r>
          </w:p>
        </w:tc>
      </w:tr>
      <w:tr w:rsidR="000E6B55" w:rsidRPr="002F1F91" w14:paraId="28BC05AA" w14:textId="77777777">
        <w:trPr>
          <w:jc w:val="center"/>
        </w:trPr>
        <w:tc>
          <w:tcPr>
            <w:tcW w:w="4320" w:type="dxa"/>
          </w:tcPr>
          <w:p w14:paraId="31389BA7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3B819A0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Fictional Pharma Ltd.</w:t>
            </w:r>
          </w:p>
        </w:tc>
      </w:tr>
      <w:tr w:rsidR="000E6B55" w:rsidRPr="002F1F91" w14:paraId="769ABE15" w14:textId="77777777">
        <w:trPr>
          <w:jc w:val="center"/>
        </w:trPr>
        <w:tc>
          <w:tcPr>
            <w:tcW w:w="4320" w:type="dxa"/>
          </w:tcPr>
          <w:p w14:paraId="50320BDF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AFE3DEF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Immunology / Allergy</w:t>
            </w:r>
          </w:p>
        </w:tc>
      </w:tr>
      <w:tr w:rsidR="000E6B55" w:rsidRPr="002F1F91" w14:paraId="53D3F386" w14:textId="77777777">
        <w:trPr>
          <w:jc w:val="center"/>
        </w:trPr>
        <w:tc>
          <w:tcPr>
            <w:tcW w:w="4320" w:type="dxa"/>
          </w:tcPr>
          <w:p w14:paraId="297B17AD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2481ED6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Moderate-to-Severe Atopic Dermatitis</w:t>
            </w:r>
          </w:p>
        </w:tc>
      </w:tr>
      <w:tr w:rsidR="000E6B55" w:rsidRPr="002F1F91" w14:paraId="04E5A75E" w14:textId="77777777">
        <w:trPr>
          <w:jc w:val="center"/>
        </w:trPr>
        <w:tc>
          <w:tcPr>
            <w:tcW w:w="4320" w:type="dxa"/>
          </w:tcPr>
          <w:p w14:paraId="05323838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2A37C54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Phase II</w:t>
            </w:r>
          </w:p>
        </w:tc>
      </w:tr>
      <w:tr w:rsidR="000E6B55" w:rsidRPr="002F1F91" w14:paraId="4E32FFA8" w14:textId="77777777">
        <w:trPr>
          <w:jc w:val="center"/>
        </w:trPr>
        <w:tc>
          <w:tcPr>
            <w:tcW w:w="4320" w:type="dxa"/>
          </w:tcPr>
          <w:p w14:paraId="79527692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B9BAC6F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Randomized, Double-Blind, Placebo-Controlled</w:t>
            </w:r>
          </w:p>
        </w:tc>
      </w:tr>
      <w:tr w:rsidR="000E6B55" w:rsidRPr="002F1F91" w14:paraId="69C0A296" w14:textId="77777777">
        <w:trPr>
          <w:jc w:val="center"/>
        </w:trPr>
        <w:tc>
          <w:tcPr>
            <w:tcW w:w="4320" w:type="dxa"/>
          </w:tcPr>
          <w:p w14:paraId="1586A813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9EAA4C9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IMM-101</w:t>
            </w:r>
          </w:p>
        </w:tc>
      </w:tr>
      <w:tr w:rsidR="000E6B55" w:rsidRPr="002F1F91" w14:paraId="7AC2B6B2" w14:textId="77777777">
        <w:trPr>
          <w:jc w:val="center"/>
        </w:trPr>
        <w:tc>
          <w:tcPr>
            <w:tcW w:w="4320" w:type="dxa"/>
          </w:tcPr>
          <w:p w14:paraId="1E2A4017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5E985E6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Trial</w:t>
            </w:r>
          </w:p>
        </w:tc>
      </w:tr>
      <w:tr w:rsidR="000E6B55" w:rsidRPr="002F1F91" w14:paraId="5DE41664" w14:textId="77777777">
        <w:trPr>
          <w:jc w:val="center"/>
        </w:trPr>
        <w:tc>
          <w:tcPr>
            <w:tcW w:w="4320" w:type="dxa"/>
          </w:tcPr>
          <w:p w14:paraId="1AE7CB52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96FB79E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Global</w:t>
            </w:r>
          </w:p>
        </w:tc>
      </w:tr>
      <w:tr w:rsidR="000E6B55" w:rsidRPr="002F1F91" w14:paraId="78D83555" w14:textId="77777777">
        <w:trPr>
          <w:jc w:val="center"/>
        </w:trPr>
        <w:tc>
          <w:tcPr>
            <w:tcW w:w="4320" w:type="dxa"/>
          </w:tcPr>
          <w:p w14:paraId="123BED0C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20019C5C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N/A</w:t>
            </w:r>
          </w:p>
        </w:tc>
      </w:tr>
      <w:tr w:rsidR="000E6B55" w:rsidRPr="002F1F91" w14:paraId="3367B9C1" w14:textId="77777777">
        <w:trPr>
          <w:jc w:val="center"/>
        </w:trPr>
        <w:tc>
          <w:tcPr>
            <w:tcW w:w="4320" w:type="dxa"/>
          </w:tcPr>
          <w:p w14:paraId="1982FBC3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101214F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1.0</w:t>
            </w:r>
          </w:p>
        </w:tc>
      </w:tr>
      <w:tr w:rsidR="000E6B55" w:rsidRPr="002F1F91" w14:paraId="711C8058" w14:textId="77777777">
        <w:trPr>
          <w:jc w:val="center"/>
        </w:trPr>
        <w:tc>
          <w:tcPr>
            <w:tcW w:w="4320" w:type="dxa"/>
          </w:tcPr>
          <w:p w14:paraId="2D4DE3BA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0261C68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Effective</w:t>
            </w:r>
          </w:p>
        </w:tc>
      </w:tr>
      <w:tr w:rsidR="000E6B55" w:rsidRPr="002F1F91" w14:paraId="6CDB73F9" w14:textId="77777777">
        <w:trPr>
          <w:jc w:val="center"/>
        </w:trPr>
        <w:tc>
          <w:tcPr>
            <w:tcW w:w="4320" w:type="dxa"/>
          </w:tcPr>
          <w:p w14:paraId="6D74A381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EB18F84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20-Mar-2027</w:t>
            </w:r>
          </w:p>
        </w:tc>
      </w:tr>
      <w:tr w:rsidR="000E6B55" w:rsidRPr="002F1F91" w14:paraId="057582C2" w14:textId="77777777">
        <w:trPr>
          <w:jc w:val="center"/>
        </w:trPr>
        <w:tc>
          <w:tcPr>
            <w:tcW w:w="4320" w:type="dxa"/>
          </w:tcPr>
          <w:p w14:paraId="39FCFA10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9121327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Data Management</w:t>
            </w:r>
          </w:p>
        </w:tc>
      </w:tr>
    </w:tbl>
    <w:p w14:paraId="0825F9D0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t>1. Purpose</w:t>
      </w:r>
    </w:p>
    <w:p w14:paraId="33ED4FEB" w14:textId="77777777" w:rsidR="000E6B55" w:rsidRPr="002F1F91" w:rsidRDefault="00000000">
      <w:pPr>
        <w:rPr>
          <w:color w:val="000000" w:themeColor="text1"/>
        </w:rPr>
      </w:pPr>
      <w:r w:rsidRPr="002F1F91">
        <w:rPr>
          <w:color w:val="000000" w:themeColor="text1"/>
        </w:rPr>
        <w:t>Defines prerequisites, responsibilities, checks, approvals, and activities required to prepare and execute the fictional database lock.</w:t>
      </w:r>
    </w:p>
    <w:p w14:paraId="321FBC6B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t>2. Study Context</w:t>
      </w:r>
    </w:p>
    <w:p w14:paraId="068C2ABE" w14:textId="77777777" w:rsidR="000E6B55" w:rsidRPr="002F1F91" w:rsidRDefault="00000000">
      <w:pPr>
        <w:rPr>
          <w:color w:val="000000" w:themeColor="text1"/>
        </w:rPr>
      </w:pPr>
      <w:r w:rsidRPr="002F1F91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4A5074A5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t>3. Governance and Responsibilities</w:t>
      </w:r>
    </w:p>
    <w:p w14:paraId="0B97AB92" w14:textId="77777777" w:rsidR="000E6B55" w:rsidRPr="002F1F91" w:rsidRDefault="00000000">
      <w:pPr>
        <w:rPr>
          <w:color w:val="000000" w:themeColor="text1"/>
        </w:rPr>
      </w:pPr>
      <w:r w:rsidRPr="002F1F91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549DBA68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lastRenderedPageBreak/>
        <w:t>4. Process Requirements</w:t>
      </w:r>
    </w:p>
    <w:p w14:paraId="420514BA" w14:textId="77777777" w:rsidR="000E6B55" w:rsidRPr="002F1F91" w:rsidRDefault="00000000">
      <w:pPr>
        <w:rPr>
          <w:color w:val="000000" w:themeColor="text1"/>
        </w:rPr>
      </w:pPr>
      <w:r w:rsidRPr="002F1F91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57F90174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t>5. Oversight and Escalation</w:t>
      </w:r>
    </w:p>
    <w:p w14:paraId="06B9AFD6" w14:textId="77777777" w:rsidR="000E6B55" w:rsidRPr="002F1F91" w:rsidRDefault="00000000">
      <w:pPr>
        <w:rPr>
          <w:color w:val="000000" w:themeColor="text1"/>
        </w:rPr>
      </w:pPr>
      <w:r w:rsidRPr="002F1F91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1C9B5F6A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t>6. Document Maintenance</w:t>
      </w:r>
    </w:p>
    <w:p w14:paraId="0FA8219B" w14:textId="77777777" w:rsidR="000E6B55" w:rsidRPr="002F1F91" w:rsidRDefault="00000000">
      <w:pPr>
        <w:rPr>
          <w:color w:val="000000" w:themeColor="text1"/>
        </w:rPr>
      </w:pPr>
      <w:r w:rsidRPr="002F1F91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401DDE59" w14:textId="77777777" w:rsidR="000E6B55" w:rsidRPr="002F1F91" w:rsidRDefault="00000000">
      <w:pPr>
        <w:pStyle w:val="Heading1"/>
        <w:rPr>
          <w:color w:val="000000" w:themeColor="text1"/>
        </w:rPr>
      </w:pPr>
      <w:r w:rsidRPr="002F1F91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0E6B55" w:rsidRPr="002F1F91" w14:paraId="5CC88A9E" w14:textId="77777777">
        <w:tc>
          <w:tcPr>
            <w:tcW w:w="2160" w:type="dxa"/>
          </w:tcPr>
          <w:p w14:paraId="54E7C829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AF69FD7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25ED7DE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B8C348B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Description</w:t>
            </w:r>
          </w:p>
        </w:tc>
      </w:tr>
      <w:tr w:rsidR="000E6B55" w:rsidRPr="002F1F91" w14:paraId="39D1AB42" w14:textId="77777777">
        <w:tc>
          <w:tcPr>
            <w:tcW w:w="2160" w:type="dxa"/>
          </w:tcPr>
          <w:p w14:paraId="147AAC3D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12E55A9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20-Mar-2027</w:t>
            </w:r>
          </w:p>
        </w:tc>
        <w:tc>
          <w:tcPr>
            <w:tcW w:w="2160" w:type="dxa"/>
          </w:tcPr>
          <w:p w14:paraId="29990266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6DFDB9E6" w14:textId="77777777" w:rsidR="000E6B55" w:rsidRPr="002F1F91" w:rsidRDefault="00000000">
            <w:pPr>
              <w:rPr>
                <w:color w:val="000000" w:themeColor="text1"/>
              </w:rPr>
            </w:pPr>
            <w:r w:rsidRPr="002F1F91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BA3E2CF" w14:textId="77777777" w:rsidR="000E6B55" w:rsidRPr="002F1F91" w:rsidRDefault="00000000">
      <w:pPr>
        <w:rPr>
          <w:color w:val="000000" w:themeColor="text1"/>
        </w:rPr>
      </w:pPr>
      <w:r w:rsidRPr="002F1F91">
        <w:rPr>
          <w:b/>
          <w:color w:val="000000" w:themeColor="text1"/>
        </w:rPr>
        <w:t xml:space="preserve">TRAINING USE ONLY — </w:t>
      </w:r>
      <w:r w:rsidRPr="002F1F91">
        <w:rPr>
          <w:color w:val="000000" w:themeColor="text1"/>
        </w:rPr>
        <w:t>This document is fictional and is not a record from a real clinical trial.</w:t>
      </w:r>
    </w:p>
    <w:sectPr w:rsidR="000E6B55" w:rsidRPr="002F1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708619">
    <w:abstractNumId w:val="8"/>
  </w:num>
  <w:num w:numId="2" w16cid:durableId="817185535">
    <w:abstractNumId w:val="6"/>
  </w:num>
  <w:num w:numId="3" w16cid:durableId="596526944">
    <w:abstractNumId w:val="5"/>
  </w:num>
  <w:num w:numId="4" w16cid:durableId="2019842044">
    <w:abstractNumId w:val="4"/>
  </w:num>
  <w:num w:numId="5" w16cid:durableId="241067595">
    <w:abstractNumId w:val="7"/>
  </w:num>
  <w:num w:numId="6" w16cid:durableId="1561866740">
    <w:abstractNumId w:val="3"/>
  </w:num>
  <w:num w:numId="7" w16cid:durableId="458719200">
    <w:abstractNumId w:val="2"/>
  </w:num>
  <w:num w:numId="8" w16cid:durableId="1294629154">
    <w:abstractNumId w:val="1"/>
  </w:num>
  <w:num w:numId="9" w16cid:durableId="10161551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B55"/>
    <w:rsid w:val="0015074B"/>
    <w:rsid w:val="0029639D"/>
    <w:rsid w:val="002F1F91"/>
    <w:rsid w:val="00326F90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4E7503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2026-08-18T19:08:00Z</dcterms:created>
  <dcterms:modified xsi:type="dcterms:W3CDTF">2026-08-18T19:08:00Z</dcterms:modified>
  <cp:category/>
</cp:coreProperties>
</file>