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AEC715" w14:textId="77777777" w:rsidR="007A5DFA" w:rsidRPr="002B224D" w:rsidRDefault="00000000">
      <w:pPr>
        <w:jc w:val="center"/>
        <w:rPr>
          <w:color w:val="000000" w:themeColor="text1"/>
        </w:rPr>
      </w:pPr>
      <w:r w:rsidRPr="002B224D">
        <w:rPr>
          <w:b/>
          <w:color w:val="000000" w:themeColor="text1"/>
          <w:sz w:val="36"/>
        </w:rPr>
        <w:t>DATABASE LOCK CONFIRMATION</w:t>
      </w:r>
    </w:p>
    <w:p w14:paraId="191831D2" w14:textId="77777777" w:rsidR="007A5DFA" w:rsidRPr="002B224D" w:rsidRDefault="00000000">
      <w:pPr>
        <w:jc w:val="center"/>
        <w:rPr>
          <w:color w:val="000000" w:themeColor="text1"/>
        </w:rPr>
      </w:pPr>
      <w:r w:rsidRPr="002B224D">
        <w:rPr>
          <w:b/>
          <w:color w:val="000000" w:themeColor="text1"/>
          <w:sz w:val="26"/>
        </w:rPr>
        <w:t>IMM-2026-001</w:t>
      </w:r>
    </w:p>
    <w:p w14:paraId="503BF9D0" w14:textId="77777777" w:rsidR="007A5DFA" w:rsidRPr="002B224D" w:rsidRDefault="00000000">
      <w:pPr>
        <w:jc w:val="center"/>
        <w:rPr>
          <w:color w:val="000000" w:themeColor="text1"/>
        </w:rPr>
      </w:pPr>
      <w:r w:rsidRPr="002B224D">
        <w:rPr>
          <w:i/>
          <w:color w:val="000000" w:themeColor="text1"/>
        </w:rPr>
        <w:t>Version 1.0</w:t>
      </w:r>
    </w:p>
    <w:p w14:paraId="27EB8711" w14:textId="77777777" w:rsidR="007A5DFA" w:rsidRPr="002B224D" w:rsidRDefault="00000000">
      <w:pPr>
        <w:pStyle w:val="Heading1"/>
        <w:rPr>
          <w:color w:val="000000" w:themeColor="text1"/>
        </w:rPr>
      </w:pPr>
      <w:r w:rsidRPr="002B224D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7A5DFA" w:rsidRPr="002B224D" w14:paraId="79AD09E0" w14:textId="77777777">
        <w:trPr>
          <w:jc w:val="center"/>
        </w:trPr>
        <w:tc>
          <w:tcPr>
            <w:tcW w:w="4320" w:type="dxa"/>
          </w:tcPr>
          <w:p w14:paraId="11A95D3D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296A9A45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Database Lock Confirmation</w:t>
            </w:r>
          </w:p>
        </w:tc>
      </w:tr>
      <w:tr w:rsidR="007A5DFA" w:rsidRPr="002B224D" w14:paraId="517B867B" w14:textId="77777777">
        <w:trPr>
          <w:jc w:val="center"/>
        </w:trPr>
        <w:tc>
          <w:tcPr>
            <w:tcW w:w="4320" w:type="dxa"/>
          </w:tcPr>
          <w:p w14:paraId="7E60DB25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64C4158C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DOC-0100</w:t>
            </w:r>
          </w:p>
        </w:tc>
      </w:tr>
      <w:tr w:rsidR="007A5DFA" w:rsidRPr="002B224D" w14:paraId="2AD98D84" w14:textId="77777777">
        <w:trPr>
          <w:jc w:val="center"/>
        </w:trPr>
        <w:tc>
          <w:tcPr>
            <w:tcW w:w="4320" w:type="dxa"/>
          </w:tcPr>
          <w:p w14:paraId="0AE308BC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42D2C4ED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10.01.07</w:t>
            </w:r>
          </w:p>
        </w:tc>
      </w:tr>
      <w:tr w:rsidR="007A5DFA" w:rsidRPr="002B224D" w14:paraId="6CAA1952" w14:textId="77777777">
        <w:trPr>
          <w:jc w:val="center"/>
        </w:trPr>
        <w:tc>
          <w:tcPr>
            <w:tcW w:w="4320" w:type="dxa"/>
          </w:tcPr>
          <w:p w14:paraId="7716DD7D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433BEAC3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IMM-2026-001</w:t>
            </w:r>
          </w:p>
        </w:tc>
      </w:tr>
      <w:tr w:rsidR="007A5DFA" w:rsidRPr="002B224D" w14:paraId="558CFF92" w14:textId="77777777">
        <w:trPr>
          <w:jc w:val="center"/>
        </w:trPr>
        <w:tc>
          <w:tcPr>
            <w:tcW w:w="4320" w:type="dxa"/>
          </w:tcPr>
          <w:p w14:paraId="549A60DD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4182E4B6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Fictional Pharma Ltd.</w:t>
            </w:r>
          </w:p>
        </w:tc>
      </w:tr>
      <w:tr w:rsidR="007A5DFA" w:rsidRPr="002B224D" w14:paraId="2EA8F6D1" w14:textId="77777777">
        <w:trPr>
          <w:jc w:val="center"/>
        </w:trPr>
        <w:tc>
          <w:tcPr>
            <w:tcW w:w="4320" w:type="dxa"/>
          </w:tcPr>
          <w:p w14:paraId="1D355BA2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2309164B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Immunology / Allergy</w:t>
            </w:r>
          </w:p>
        </w:tc>
      </w:tr>
      <w:tr w:rsidR="007A5DFA" w:rsidRPr="002B224D" w14:paraId="0CA7431E" w14:textId="77777777">
        <w:trPr>
          <w:jc w:val="center"/>
        </w:trPr>
        <w:tc>
          <w:tcPr>
            <w:tcW w:w="4320" w:type="dxa"/>
          </w:tcPr>
          <w:p w14:paraId="231172EA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6F723D51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Moderate-to-Severe Atopic Dermatitis</w:t>
            </w:r>
          </w:p>
        </w:tc>
      </w:tr>
      <w:tr w:rsidR="007A5DFA" w:rsidRPr="002B224D" w14:paraId="5B26B8FE" w14:textId="77777777">
        <w:trPr>
          <w:jc w:val="center"/>
        </w:trPr>
        <w:tc>
          <w:tcPr>
            <w:tcW w:w="4320" w:type="dxa"/>
          </w:tcPr>
          <w:p w14:paraId="07C67E97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64F30C2B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Phase II</w:t>
            </w:r>
          </w:p>
        </w:tc>
      </w:tr>
      <w:tr w:rsidR="007A5DFA" w:rsidRPr="002B224D" w14:paraId="62C6006D" w14:textId="77777777">
        <w:trPr>
          <w:jc w:val="center"/>
        </w:trPr>
        <w:tc>
          <w:tcPr>
            <w:tcW w:w="4320" w:type="dxa"/>
          </w:tcPr>
          <w:p w14:paraId="7793CD46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7C36F0EF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Randomized, Double-Blind, Placebo-Controlled</w:t>
            </w:r>
          </w:p>
        </w:tc>
      </w:tr>
      <w:tr w:rsidR="007A5DFA" w:rsidRPr="002B224D" w14:paraId="7581A101" w14:textId="77777777">
        <w:trPr>
          <w:jc w:val="center"/>
        </w:trPr>
        <w:tc>
          <w:tcPr>
            <w:tcW w:w="4320" w:type="dxa"/>
          </w:tcPr>
          <w:p w14:paraId="610B3C53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0716171E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IMM-101</w:t>
            </w:r>
          </w:p>
        </w:tc>
      </w:tr>
      <w:tr w:rsidR="007A5DFA" w:rsidRPr="002B224D" w14:paraId="3E62139A" w14:textId="77777777">
        <w:trPr>
          <w:jc w:val="center"/>
        </w:trPr>
        <w:tc>
          <w:tcPr>
            <w:tcW w:w="4320" w:type="dxa"/>
          </w:tcPr>
          <w:p w14:paraId="090A8BAB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749CCC9A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Trial</w:t>
            </w:r>
          </w:p>
        </w:tc>
      </w:tr>
      <w:tr w:rsidR="007A5DFA" w:rsidRPr="002B224D" w14:paraId="52747F16" w14:textId="77777777">
        <w:trPr>
          <w:jc w:val="center"/>
        </w:trPr>
        <w:tc>
          <w:tcPr>
            <w:tcW w:w="4320" w:type="dxa"/>
          </w:tcPr>
          <w:p w14:paraId="5396C4C0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5A06D05E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Global</w:t>
            </w:r>
          </w:p>
        </w:tc>
      </w:tr>
      <w:tr w:rsidR="007A5DFA" w:rsidRPr="002B224D" w14:paraId="2864A11C" w14:textId="77777777">
        <w:trPr>
          <w:jc w:val="center"/>
        </w:trPr>
        <w:tc>
          <w:tcPr>
            <w:tcW w:w="4320" w:type="dxa"/>
          </w:tcPr>
          <w:p w14:paraId="5A3C6022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5940DCD4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N/A</w:t>
            </w:r>
          </w:p>
        </w:tc>
      </w:tr>
      <w:tr w:rsidR="007A5DFA" w:rsidRPr="002B224D" w14:paraId="36A9161A" w14:textId="77777777">
        <w:trPr>
          <w:jc w:val="center"/>
        </w:trPr>
        <w:tc>
          <w:tcPr>
            <w:tcW w:w="4320" w:type="dxa"/>
          </w:tcPr>
          <w:p w14:paraId="37857ED2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175F1B5A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1.0</w:t>
            </w:r>
          </w:p>
        </w:tc>
      </w:tr>
      <w:tr w:rsidR="007A5DFA" w:rsidRPr="002B224D" w14:paraId="41507582" w14:textId="77777777">
        <w:trPr>
          <w:jc w:val="center"/>
        </w:trPr>
        <w:tc>
          <w:tcPr>
            <w:tcW w:w="4320" w:type="dxa"/>
          </w:tcPr>
          <w:p w14:paraId="0FC1A516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12E6F4F7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Effective</w:t>
            </w:r>
          </w:p>
        </w:tc>
      </w:tr>
      <w:tr w:rsidR="007A5DFA" w:rsidRPr="002B224D" w14:paraId="125162CF" w14:textId="77777777">
        <w:trPr>
          <w:jc w:val="center"/>
        </w:trPr>
        <w:tc>
          <w:tcPr>
            <w:tcW w:w="4320" w:type="dxa"/>
          </w:tcPr>
          <w:p w14:paraId="46B8C488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39587A1C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22-Mar-2027</w:t>
            </w:r>
          </w:p>
        </w:tc>
      </w:tr>
      <w:tr w:rsidR="007A5DFA" w:rsidRPr="002B224D" w14:paraId="36C376A3" w14:textId="77777777">
        <w:trPr>
          <w:jc w:val="center"/>
        </w:trPr>
        <w:tc>
          <w:tcPr>
            <w:tcW w:w="4320" w:type="dxa"/>
          </w:tcPr>
          <w:p w14:paraId="5748627C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0EF70D3C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Data Management</w:t>
            </w:r>
          </w:p>
        </w:tc>
      </w:tr>
    </w:tbl>
    <w:p w14:paraId="03AB1BC4" w14:textId="77777777" w:rsidR="007A5DFA" w:rsidRPr="002B224D" w:rsidRDefault="00000000">
      <w:pPr>
        <w:pStyle w:val="Heading1"/>
        <w:rPr>
          <w:color w:val="000000" w:themeColor="text1"/>
        </w:rPr>
      </w:pPr>
      <w:r w:rsidRPr="002B224D">
        <w:rPr>
          <w:color w:val="000000" w:themeColor="text1"/>
        </w:rPr>
        <w:t>1. Purpose</w:t>
      </w:r>
    </w:p>
    <w:p w14:paraId="5654EBCB" w14:textId="77777777" w:rsidR="007A5DFA" w:rsidRPr="002B224D" w:rsidRDefault="00000000">
      <w:pPr>
        <w:rPr>
          <w:color w:val="000000" w:themeColor="text1"/>
        </w:rPr>
      </w:pPr>
      <w:r w:rsidRPr="002B224D">
        <w:rPr>
          <w:color w:val="000000" w:themeColor="text1"/>
        </w:rPr>
        <w:t>Documents completion of the fictional database lock, including prerequisite checks, approvals, date, and final status.</w:t>
      </w:r>
    </w:p>
    <w:p w14:paraId="12E6B06D" w14:textId="77777777" w:rsidR="007A5DFA" w:rsidRPr="002B224D" w:rsidRDefault="00000000">
      <w:pPr>
        <w:pStyle w:val="Heading1"/>
        <w:rPr>
          <w:color w:val="000000" w:themeColor="text1"/>
        </w:rPr>
      </w:pPr>
      <w:r w:rsidRPr="002B224D">
        <w:rPr>
          <w:color w:val="000000" w:themeColor="text1"/>
        </w:rPr>
        <w:t>2. Study Context</w:t>
      </w:r>
    </w:p>
    <w:p w14:paraId="370B0BBB" w14:textId="77777777" w:rsidR="007A5DFA" w:rsidRPr="002B224D" w:rsidRDefault="00000000">
      <w:pPr>
        <w:rPr>
          <w:color w:val="000000" w:themeColor="text1"/>
        </w:rPr>
      </w:pPr>
      <w:r w:rsidRPr="002B224D">
        <w:rPr>
          <w:color w:val="000000" w:themeColor="text1"/>
        </w:rPr>
        <w:t>This document applies to the fictional IMM-2026-001 Phase II clinical trial and supports consistent, traceable data management activities, data integrity, and inspection readiness.</w:t>
      </w:r>
    </w:p>
    <w:p w14:paraId="3DCDDF5F" w14:textId="77777777" w:rsidR="007A5DFA" w:rsidRPr="002B224D" w:rsidRDefault="00000000">
      <w:pPr>
        <w:pStyle w:val="Heading1"/>
        <w:rPr>
          <w:color w:val="000000" w:themeColor="text1"/>
        </w:rPr>
      </w:pPr>
      <w:r w:rsidRPr="002B224D">
        <w:rPr>
          <w:color w:val="000000" w:themeColor="text1"/>
        </w:rPr>
        <w:t>3. Governance and Responsibilities</w:t>
      </w:r>
    </w:p>
    <w:p w14:paraId="1DFF2292" w14:textId="77777777" w:rsidR="007A5DFA" w:rsidRPr="002B224D" w:rsidRDefault="00000000">
      <w:pPr>
        <w:rPr>
          <w:color w:val="000000" w:themeColor="text1"/>
        </w:rPr>
      </w:pPr>
      <w:r w:rsidRPr="002B224D">
        <w:rPr>
          <w:color w:val="000000" w:themeColor="text1"/>
        </w:rPr>
        <w:t>The document owner is Data Management. Relevant stakeholders include Data Management, Clinical Operations, Biostatistics, Medical Affairs, Safety, Quality Assurance, investigators and site staff, and Document Management as applicable.</w:t>
      </w:r>
    </w:p>
    <w:p w14:paraId="5FDDF375" w14:textId="77777777" w:rsidR="007A5DFA" w:rsidRPr="002B224D" w:rsidRDefault="00000000">
      <w:pPr>
        <w:pStyle w:val="Heading1"/>
        <w:rPr>
          <w:color w:val="000000" w:themeColor="text1"/>
        </w:rPr>
      </w:pPr>
      <w:r w:rsidRPr="002B224D">
        <w:rPr>
          <w:color w:val="000000" w:themeColor="text1"/>
        </w:rPr>
        <w:lastRenderedPageBreak/>
        <w:t>4. Process Requirements</w:t>
      </w:r>
    </w:p>
    <w:p w14:paraId="60D1C716" w14:textId="77777777" w:rsidR="007A5DFA" w:rsidRPr="002B224D" w:rsidRDefault="00000000">
      <w:pPr>
        <w:rPr>
          <w:color w:val="000000" w:themeColor="text1"/>
        </w:rPr>
      </w:pPr>
      <w:r w:rsidRPr="002B224D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6ACF934C" w14:textId="77777777" w:rsidR="007A5DFA" w:rsidRPr="002B224D" w:rsidRDefault="00000000">
      <w:pPr>
        <w:pStyle w:val="Heading1"/>
        <w:rPr>
          <w:color w:val="000000" w:themeColor="text1"/>
        </w:rPr>
      </w:pPr>
      <w:r w:rsidRPr="002B224D">
        <w:rPr>
          <w:color w:val="000000" w:themeColor="text1"/>
        </w:rPr>
        <w:t>5. Oversight and Escalation</w:t>
      </w:r>
    </w:p>
    <w:p w14:paraId="3852B190" w14:textId="77777777" w:rsidR="007A5DFA" w:rsidRPr="002B224D" w:rsidRDefault="00000000">
      <w:pPr>
        <w:rPr>
          <w:color w:val="000000" w:themeColor="text1"/>
        </w:rPr>
      </w:pPr>
      <w:r w:rsidRPr="002B224D">
        <w:rPr>
          <w:color w:val="000000" w:themeColor="text1"/>
        </w:rPr>
        <w:t>Material data quality issues, unresolved queries, transfer discrepancies, coding concerns, or database readiness risks will be documented and escalated to appropriate study leadership.</w:t>
      </w:r>
    </w:p>
    <w:p w14:paraId="5772AAD1" w14:textId="77777777" w:rsidR="007A5DFA" w:rsidRPr="002B224D" w:rsidRDefault="00000000">
      <w:pPr>
        <w:pStyle w:val="Heading1"/>
        <w:rPr>
          <w:color w:val="000000" w:themeColor="text1"/>
        </w:rPr>
      </w:pPr>
      <w:r w:rsidRPr="002B224D">
        <w:rPr>
          <w:color w:val="000000" w:themeColor="text1"/>
        </w:rPr>
        <w:t>6. Document Maintenance</w:t>
      </w:r>
    </w:p>
    <w:p w14:paraId="650FF508" w14:textId="77777777" w:rsidR="007A5DFA" w:rsidRPr="002B224D" w:rsidRDefault="00000000">
      <w:pPr>
        <w:rPr>
          <w:color w:val="000000" w:themeColor="text1"/>
        </w:rPr>
      </w:pPr>
      <w:r w:rsidRPr="002B224D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30381D55" w14:textId="77777777" w:rsidR="007A5DFA" w:rsidRPr="002B224D" w:rsidRDefault="00000000">
      <w:pPr>
        <w:pStyle w:val="Heading1"/>
        <w:rPr>
          <w:color w:val="000000" w:themeColor="text1"/>
        </w:rPr>
      </w:pPr>
      <w:r w:rsidRPr="002B224D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7A5DFA" w:rsidRPr="002B224D" w14:paraId="4387B942" w14:textId="77777777">
        <w:tc>
          <w:tcPr>
            <w:tcW w:w="2160" w:type="dxa"/>
          </w:tcPr>
          <w:p w14:paraId="73CA0F28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29B46419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0870E296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6DB13D40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Description</w:t>
            </w:r>
          </w:p>
        </w:tc>
      </w:tr>
      <w:tr w:rsidR="007A5DFA" w:rsidRPr="002B224D" w14:paraId="367E10BF" w14:textId="77777777">
        <w:tc>
          <w:tcPr>
            <w:tcW w:w="2160" w:type="dxa"/>
          </w:tcPr>
          <w:p w14:paraId="48DB004D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14A77652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22-Mar-2027</w:t>
            </w:r>
          </w:p>
        </w:tc>
        <w:tc>
          <w:tcPr>
            <w:tcW w:w="2160" w:type="dxa"/>
          </w:tcPr>
          <w:p w14:paraId="7772F44A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Data Management</w:t>
            </w:r>
          </w:p>
        </w:tc>
        <w:tc>
          <w:tcPr>
            <w:tcW w:w="2160" w:type="dxa"/>
          </w:tcPr>
          <w:p w14:paraId="1012A62F" w14:textId="77777777" w:rsidR="007A5DFA" w:rsidRPr="002B224D" w:rsidRDefault="00000000">
            <w:pPr>
              <w:rPr>
                <w:color w:val="000000" w:themeColor="text1"/>
              </w:rPr>
            </w:pPr>
            <w:r w:rsidRPr="002B224D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1D5547A8" w14:textId="77777777" w:rsidR="007A5DFA" w:rsidRPr="002B224D" w:rsidRDefault="00000000">
      <w:pPr>
        <w:rPr>
          <w:color w:val="000000" w:themeColor="text1"/>
        </w:rPr>
      </w:pPr>
      <w:r w:rsidRPr="002B224D">
        <w:rPr>
          <w:b/>
          <w:color w:val="000000" w:themeColor="text1"/>
        </w:rPr>
        <w:t xml:space="preserve">TRAINING USE ONLY — </w:t>
      </w:r>
      <w:r w:rsidRPr="002B224D">
        <w:rPr>
          <w:color w:val="000000" w:themeColor="text1"/>
        </w:rPr>
        <w:t>This document is fictional and is not a record from a real clinical trial.</w:t>
      </w:r>
    </w:p>
    <w:sectPr w:rsidR="007A5DFA" w:rsidRPr="002B22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224474">
    <w:abstractNumId w:val="8"/>
  </w:num>
  <w:num w:numId="2" w16cid:durableId="1616909138">
    <w:abstractNumId w:val="6"/>
  </w:num>
  <w:num w:numId="3" w16cid:durableId="687558156">
    <w:abstractNumId w:val="5"/>
  </w:num>
  <w:num w:numId="4" w16cid:durableId="1172798511">
    <w:abstractNumId w:val="4"/>
  </w:num>
  <w:num w:numId="5" w16cid:durableId="915093109">
    <w:abstractNumId w:val="7"/>
  </w:num>
  <w:num w:numId="6" w16cid:durableId="255752621">
    <w:abstractNumId w:val="3"/>
  </w:num>
  <w:num w:numId="7" w16cid:durableId="965967735">
    <w:abstractNumId w:val="2"/>
  </w:num>
  <w:num w:numId="8" w16cid:durableId="560143317">
    <w:abstractNumId w:val="1"/>
  </w:num>
  <w:num w:numId="9" w16cid:durableId="6083904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224D"/>
    <w:rsid w:val="00326F90"/>
    <w:rsid w:val="007A5DFA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F148BAA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2026-08-18T19:08:00Z</dcterms:created>
  <dcterms:modified xsi:type="dcterms:W3CDTF">2026-08-18T19:08:00Z</dcterms:modified>
  <cp:category/>
</cp:coreProperties>
</file>