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9AAA9E" w14:textId="77777777" w:rsidR="00D54A9C" w:rsidRPr="00AC1DAF" w:rsidRDefault="00000000">
      <w:pPr>
        <w:jc w:val="center"/>
        <w:rPr>
          <w:color w:val="000000" w:themeColor="text1"/>
        </w:rPr>
      </w:pPr>
      <w:r w:rsidRPr="00AC1DAF">
        <w:rPr>
          <w:b/>
          <w:color w:val="000000" w:themeColor="text1"/>
          <w:sz w:val="36"/>
        </w:rPr>
        <w:t>STATISTICAL ANALYSIS PLAN</w:t>
      </w:r>
    </w:p>
    <w:p w14:paraId="149051EF" w14:textId="77777777" w:rsidR="00D54A9C" w:rsidRPr="00AC1DAF" w:rsidRDefault="00000000">
      <w:pPr>
        <w:jc w:val="center"/>
        <w:rPr>
          <w:color w:val="000000" w:themeColor="text1"/>
        </w:rPr>
      </w:pPr>
      <w:r w:rsidRPr="00AC1DAF">
        <w:rPr>
          <w:b/>
          <w:color w:val="000000" w:themeColor="text1"/>
          <w:sz w:val="26"/>
        </w:rPr>
        <w:t>IMM-2026-001</w:t>
      </w:r>
    </w:p>
    <w:p w14:paraId="7FA3EBD4" w14:textId="77777777" w:rsidR="00D54A9C" w:rsidRPr="00AC1DAF" w:rsidRDefault="00000000">
      <w:pPr>
        <w:jc w:val="center"/>
        <w:rPr>
          <w:color w:val="000000" w:themeColor="text1"/>
        </w:rPr>
      </w:pPr>
      <w:r w:rsidRPr="00AC1DAF">
        <w:rPr>
          <w:i/>
          <w:color w:val="000000" w:themeColor="text1"/>
        </w:rPr>
        <w:t>Version 1.0</w:t>
      </w:r>
    </w:p>
    <w:p w14:paraId="4E9B1216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54A9C" w:rsidRPr="00AC1DAF" w14:paraId="5DCB4983" w14:textId="77777777">
        <w:trPr>
          <w:jc w:val="center"/>
        </w:trPr>
        <w:tc>
          <w:tcPr>
            <w:tcW w:w="4320" w:type="dxa"/>
          </w:tcPr>
          <w:p w14:paraId="2E11A964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69C1B2B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Statistical Analysis Plan</w:t>
            </w:r>
          </w:p>
        </w:tc>
      </w:tr>
      <w:tr w:rsidR="00D54A9C" w:rsidRPr="00AC1DAF" w14:paraId="348E1922" w14:textId="77777777">
        <w:trPr>
          <w:jc w:val="center"/>
        </w:trPr>
        <w:tc>
          <w:tcPr>
            <w:tcW w:w="4320" w:type="dxa"/>
          </w:tcPr>
          <w:p w14:paraId="5AD02165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7D9E14BA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DOC-0102</w:t>
            </w:r>
          </w:p>
        </w:tc>
      </w:tr>
      <w:tr w:rsidR="00D54A9C" w:rsidRPr="00AC1DAF" w14:paraId="470A8B91" w14:textId="77777777">
        <w:trPr>
          <w:jc w:val="center"/>
        </w:trPr>
        <w:tc>
          <w:tcPr>
            <w:tcW w:w="4320" w:type="dxa"/>
          </w:tcPr>
          <w:p w14:paraId="4A67070A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6D85F4BB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11.01.01</w:t>
            </w:r>
          </w:p>
        </w:tc>
      </w:tr>
      <w:tr w:rsidR="00D54A9C" w:rsidRPr="00AC1DAF" w14:paraId="19CD7D73" w14:textId="77777777">
        <w:trPr>
          <w:jc w:val="center"/>
        </w:trPr>
        <w:tc>
          <w:tcPr>
            <w:tcW w:w="4320" w:type="dxa"/>
          </w:tcPr>
          <w:p w14:paraId="7A990739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BB715D5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IMM-2026-001</w:t>
            </w:r>
          </w:p>
        </w:tc>
      </w:tr>
      <w:tr w:rsidR="00D54A9C" w:rsidRPr="00AC1DAF" w14:paraId="2D9D19A1" w14:textId="77777777">
        <w:trPr>
          <w:jc w:val="center"/>
        </w:trPr>
        <w:tc>
          <w:tcPr>
            <w:tcW w:w="4320" w:type="dxa"/>
          </w:tcPr>
          <w:p w14:paraId="7B525BEC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19D60F3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Fictional Pharma Ltd.</w:t>
            </w:r>
          </w:p>
        </w:tc>
      </w:tr>
      <w:tr w:rsidR="00D54A9C" w:rsidRPr="00AC1DAF" w14:paraId="5D7483DF" w14:textId="77777777">
        <w:trPr>
          <w:jc w:val="center"/>
        </w:trPr>
        <w:tc>
          <w:tcPr>
            <w:tcW w:w="4320" w:type="dxa"/>
          </w:tcPr>
          <w:p w14:paraId="7EECF6AC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3C025BC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Immunology / Allergy</w:t>
            </w:r>
          </w:p>
        </w:tc>
      </w:tr>
      <w:tr w:rsidR="00D54A9C" w:rsidRPr="00AC1DAF" w14:paraId="2D0D29C1" w14:textId="77777777">
        <w:trPr>
          <w:jc w:val="center"/>
        </w:trPr>
        <w:tc>
          <w:tcPr>
            <w:tcW w:w="4320" w:type="dxa"/>
          </w:tcPr>
          <w:p w14:paraId="59F3F566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F1A3FC3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Moderate-to-Severe Atopic Dermatitis</w:t>
            </w:r>
          </w:p>
        </w:tc>
      </w:tr>
      <w:tr w:rsidR="00D54A9C" w:rsidRPr="00AC1DAF" w14:paraId="71F5B4EB" w14:textId="77777777">
        <w:trPr>
          <w:jc w:val="center"/>
        </w:trPr>
        <w:tc>
          <w:tcPr>
            <w:tcW w:w="4320" w:type="dxa"/>
          </w:tcPr>
          <w:p w14:paraId="6D07AC00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A5E6280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Phase II</w:t>
            </w:r>
          </w:p>
        </w:tc>
      </w:tr>
      <w:tr w:rsidR="00D54A9C" w:rsidRPr="00AC1DAF" w14:paraId="0A7011AA" w14:textId="77777777">
        <w:trPr>
          <w:jc w:val="center"/>
        </w:trPr>
        <w:tc>
          <w:tcPr>
            <w:tcW w:w="4320" w:type="dxa"/>
          </w:tcPr>
          <w:p w14:paraId="7A2A9534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EAAD311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Randomized, Double-Blind, Placebo-Controlled</w:t>
            </w:r>
          </w:p>
        </w:tc>
      </w:tr>
      <w:tr w:rsidR="00D54A9C" w:rsidRPr="00AC1DAF" w14:paraId="4B500940" w14:textId="77777777">
        <w:trPr>
          <w:jc w:val="center"/>
        </w:trPr>
        <w:tc>
          <w:tcPr>
            <w:tcW w:w="4320" w:type="dxa"/>
          </w:tcPr>
          <w:p w14:paraId="08625C1C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0745E3C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IMM-101</w:t>
            </w:r>
          </w:p>
        </w:tc>
      </w:tr>
      <w:tr w:rsidR="00D54A9C" w:rsidRPr="00AC1DAF" w14:paraId="7D721736" w14:textId="77777777">
        <w:trPr>
          <w:jc w:val="center"/>
        </w:trPr>
        <w:tc>
          <w:tcPr>
            <w:tcW w:w="4320" w:type="dxa"/>
          </w:tcPr>
          <w:p w14:paraId="587FB3D7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62325E8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Trial</w:t>
            </w:r>
          </w:p>
        </w:tc>
      </w:tr>
      <w:tr w:rsidR="00D54A9C" w:rsidRPr="00AC1DAF" w14:paraId="33F6951B" w14:textId="77777777">
        <w:trPr>
          <w:jc w:val="center"/>
        </w:trPr>
        <w:tc>
          <w:tcPr>
            <w:tcW w:w="4320" w:type="dxa"/>
          </w:tcPr>
          <w:p w14:paraId="1CF15BF8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261FB67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Global</w:t>
            </w:r>
          </w:p>
        </w:tc>
      </w:tr>
      <w:tr w:rsidR="00D54A9C" w:rsidRPr="00AC1DAF" w14:paraId="141BC2F5" w14:textId="77777777">
        <w:trPr>
          <w:jc w:val="center"/>
        </w:trPr>
        <w:tc>
          <w:tcPr>
            <w:tcW w:w="4320" w:type="dxa"/>
          </w:tcPr>
          <w:p w14:paraId="15C2FBDC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444F299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N/A</w:t>
            </w:r>
          </w:p>
        </w:tc>
      </w:tr>
      <w:tr w:rsidR="00D54A9C" w:rsidRPr="00AC1DAF" w14:paraId="1B5FCC0D" w14:textId="77777777">
        <w:trPr>
          <w:jc w:val="center"/>
        </w:trPr>
        <w:tc>
          <w:tcPr>
            <w:tcW w:w="4320" w:type="dxa"/>
          </w:tcPr>
          <w:p w14:paraId="0812EFB9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98340F5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1.0</w:t>
            </w:r>
          </w:p>
        </w:tc>
      </w:tr>
      <w:tr w:rsidR="00D54A9C" w:rsidRPr="00AC1DAF" w14:paraId="292902D8" w14:textId="77777777">
        <w:trPr>
          <w:jc w:val="center"/>
        </w:trPr>
        <w:tc>
          <w:tcPr>
            <w:tcW w:w="4320" w:type="dxa"/>
          </w:tcPr>
          <w:p w14:paraId="4523C86B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08CC8578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Effective</w:t>
            </w:r>
          </w:p>
        </w:tc>
      </w:tr>
      <w:tr w:rsidR="00D54A9C" w:rsidRPr="00AC1DAF" w14:paraId="0CE5E375" w14:textId="77777777">
        <w:trPr>
          <w:jc w:val="center"/>
        </w:trPr>
        <w:tc>
          <w:tcPr>
            <w:tcW w:w="4320" w:type="dxa"/>
          </w:tcPr>
          <w:p w14:paraId="255EDF6E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3AE32F6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28-Mar-2027</w:t>
            </w:r>
          </w:p>
        </w:tc>
      </w:tr>
      <w:tr w:rsidR="00D54A9C" w:rsidRPr="00AC1DAF" w14:paraId="2C3C6FB8" w14:textId="77777777">
        <w:trPr>
          <w:jc w:val="center"/>
        </w:trPr>
        <w:tc>
          <w:tcPr>
            <w:tcW w:w="4320" w:type="dxa"/>
          </w:tcPr>
          <w:p w14:paraId="6A53BC0B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961E935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Biostatistics</w:t>
            </w:r>
          </w:p>
        </w:tc>
      </w:tr>
    </w:tbl>
    <w:p w14:paraId="2596BB0A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t>1. Purpose</w:t>
      </w:r>
    </w:p>
    <w:p w14:paraId="22923644" w14:textId="77777777" w:rsidR="00D54A9C" w:rsidRPr="00AC1DAF" w:rsidRDefault="00000000">
      <w:pPr>
        <w:rPr>
          <w:color w:val="000000" w:themeColor="text1"/>
        </w:rPr>
      </w:pPr>
      <w:r w:rsidRPr="00AC1DAF">
        <w:rPr>
          <w:color w:val="000000" w:themeColor="text1"/>
        </w:rPr>
        <w:t>Defines the planned statistical methods, populations, endpoints, analyses, handling of missing data, and presentation approach for the fictional study.</w:t>
      </w:r>
    </w:p>
    <w:p w14:paraId="5E389B0E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t>2. Study Context</w:t>
      </w:r>
    </w:p>
    <w:p w14:paraId="3CA14572" w14:textId="77777777" w:rsidR="00D54A9C" w:rsidRPr="00AC1DAF" w:rsidRDefault="00000000">
      <w:pPr>
        <w:rPr>
          <w:color w:val="000000" w:themeColor="text1"/>
        </w:rPr>
      </w:pPr>
      <w:r w:rsidRPr="00AC1DAF">
        <w:rPr>
          <w:color w:val="000000" w:themeColor="text1"/>
        </w:rPr>
        <w:t>This document applies to the fictional IMM-2026-001 Phase II clinical trial and supports consistent, traceable statistical planning, programming, analysis, review, and inspection readiness.</w:t>
      </w:r>
    </w:p>
    <w:p w14:paraId="11F20CB2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t>3. Governance and Responsibilities</w:t>
      </w:r>
    </w:p>
    <w:p w14:paraId="0DDDB9D2" w14:textId="77777777" w:rsidR="00D54A9C" w:rsidRPr="00AC1DAF" w:rsidRDefault="00000000">
      <w:pPr>
        <w:rPr>
          <w:color w:val="000000" w:themeColor="text1"/>
        </w:rPr>
      </w:pPr>
      <w:r w:rsidRPr="00AC1DAF">
        <w:rPr>
          <w:color w:val="000000" w:themeColor="text1"/>
        </w:rPr>
        <w:t>The document owner is Biostatistics. Relevant stakeholders include Biostatistics, Data Management, Clinical Operations, Medical Affairs, Quality Assurance, Regulatory Affairs, and Document Management as applicable.</w:t>
      </w:r>
    </w:p>
    <w:p w14:paraId="0E2E66C3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lastRenderedPageBreak/>
        <w:t>4. Process Requirements</w:t>
      </w:r>
    </w:p>
    <w:p w14:paraId="25290688" w14:textId="77777777" w:rsidR="00D54A9C" w:rsidRPr="00AC1DAF" w:rsidRDefault="00000000">
      <w:pPr>
        <w:rPr>
          <w:color w:val="000000" w:themeColor="text1"/>
        </w:rPr>
      </w:pPr>
      <w:r w:rsidRPr="00AC1DAF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31EC5205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t>5. Oversight and Escalation</w:t>
      </w:r>
    </w:p>
    <w:p w14:paraId="52134FA6" w14:textId="77777777" w:rsidR="00D54A9C" w:rsidRPr="00AC1DAF" w:rsidRDefault="00000000">
      <w:pPr>
        <w:rPr>
          <w:color w:val="000000" w:themeColor="text1"/>
        </w:rPr>
      </w:pPr>
      <w:r w:rsidRPr="00AC1DAF">
        <w:rPr>
          <w:color w:val="000000" w:themeColor="text1"/>
        </w:rPr>
        <w:t>Material statistical issues, programming discrepancies, output review findings, or unresolved analysis risks will be documented and escalated to appropriate study leadership.</w:t>
      </w:r>
    </w:p>
    <w:p w14:paraId="49E3783C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t>6. Document Maintenance</w:t>
      </w:r>
    </w:p>
    <w:p w14:paraId="368862F9" w14:textId="77777777" w:rsidR="00D54A9C" w:rsidRPr="00AC1DAF" w:rsidRDefault="00000000">
      <w:pPr>
        <w:rPr>
          <w:color w:val="000000" w:themeColor="text1"/>
        </w:rPr>
      </w:pPr>
      <w:r w:rsidRPr="00AC1DAF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949C7BF" w14:textId="77777777" w:rsidR="00D54A9C" w:rsidRPr="00AC1DAF" w:rsidRDefault="00000000">
      <w:pPr>
        <w:pStyle w:val="Heading1"/>
        <w:rPr>
          <w:color w:val="000000" w:themeColor="text1"/>
        </w:rPr>
      </w:pPr>
      <w:r w:rsidRPr="00AC1DA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54A9C" w:rsidRPr="00AC1DAF" w14:paraId="7CD6850F" w14:textId="77777777">
        <w:tc>
          <w:tcPr>
            <w:tcW w:w="2160" w:type="dxa"/>
          </w:tcPr>
          <w:p w14:paraId="0E80A356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806CF83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853DA6A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3EED7B9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Description</w:t>
            </w:r>
          </w:p>
        </w:tc>
      </w:tr>
      <w:tr w:rsidR="00D54A9C" w:rsidRPr="00AC1DAF" w14:paraId="40DF4092" w14:textId="77777777">
        <w:tc>
          <w:tcPr>
            <w:tcW w:w="2160" w:type="dxa"/>
          </w:tcPr>
          <w:p w14:paraId="4CBB7AC6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F61CE2D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28-Mar-2027</w:t>
            </w:r>
          </w:p>
        </w:tc>
        <w:tc>
          <w:tcPr>
            <w:tcW w:w="2160" w:type="dxa"/>
          </w:tcPr>
          <w:p w14:paraId="762F82CA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Biostatistics</w:t>
            </w:r>
          </w:p>
        </w:tc>
        <w:tc>
          <w:tcPr>
            <w:tcW w:w="2160" w:type="dxa"/>
          </w:tcPr>
          <w:p w14:paraId="17B9758C" w14:textId="77777777" w:rsidR="00D54A9C" w:rsidRPr="00AC1DAF" w:rsidRDefault="00000000">
            <w:pPr>
              <w:rPr>
                <w:color w:val="000000" w:themeColor="text1"/>
              </w:rPr>
            </w:pPr>
            <w:r w:rsidRPr="00AC1DA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4FBCEA2B" w14:textId="77777777" w:rsidR="00D54A9C" w:rsidRPr="00AC1DAF" w:rsidRDefault="00000000">
      <w:pPr>
        <w:rPr>
          <w:color w:val="000000" w:themeColor="text1"/>
        </w:rPr>
      </w:pPr>
      <w:r w:rsidRPr="00AC1DAF">
        <w:rPr>
          <w:b/>
          <w:color w:val="000000" w:themeColor="text1"/>
        </w:rPr>
        <w:t xml:space="preserve">TRAINING USE ONLY — </w:t>
      </w:r>
      <w:r w:rsidRPr="00AC1DAF">
        <w:rPr>
          <w:color w:val="000000" w:themeColor="text1"/>
        </w:rPr>
        <w:t>This document is fictional and is not a record from a real clinical trial.</w:t>
      </w:r>
    </w:p>
    <w:sectPr w:rsidR="00D54A9C" w:rsidRPr="00AC1D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234753">
    <w:abstractNumId w:val="8"/>
  </w:num>
  <w:num w:numId="2" w16cid:durableId="531916433">
    <w:abstractNumId w:val="6"/>
  </w:num>
  <w:num w:numId="3" w16cid:durableId="1667172380">
    <w:abstractNumId w:val="5"/>
  </w:num>
  <w:num w:numId="4" w16cid:durableId="1711344225">
    <w:abstractNumId w:val="4"/>
  </w:num>
  <w:num w:numId="5" w16cid:durableId="1049376432">
    <w:abstractNumId w:val="7"/>
  </w:num>
  <w:num w:numId="6" w16cid:durableId="1522863418">
    <w:abstractNumId w:val="3"/>
  </w:num>
  <w:num w:numId="7" w16cid:durableId="1894537392">
    <w:abstractNumId w:val="2"/>
  </w:num>
  <w:num w:numId="8" w16cid:durableId="712116809">
    <w:abstractNumId w:val="1"/>
  </w:num>
  <w:num w:numId="9" w16cid:durableId="199516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1DAF"/>
    <w:rsid w:val="00B47730"/>
    <w:rsid w:val="00CB0664"/>
    <w:rsid w:val="00D34426"/>
    <w:rsid w:val="00D54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393F89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2026-08-18T19:09:00Z</dcterms:created>
  <dcterms:modified xsi:type="dcterms:W3CDTF">2026-08-18T19:09:00Z</dcterms:modified>
  <cp:category/>
</cp:coreProperties>
</file>