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3595DB" w14:textId="77777777" w:rsidR="00A14C14" w:rsidRPr="004300A9" w:rsidRDefault="00000000">
      <w:pPr>
        <w:jc w:val="center"/>
        <w:rPr>
          <w:color w:val="000000" w:themeColor="text1"/>
        </w:rPr>
      </w:pPr>
      <w:r w:rsidRPr="004300A9">
        <w:rPr>
          <w:b/>
          <w:color w:val="000000" w:themeColor="text1"/>
          <w:sz w:val="36"/>
        </w:rPr>
        <w:t>STATISTICAL DELIVERABLES SIGN-OFF</w:t>
      </w:r>
    </w:p>
    <w:p w14:paraId="74C2FE5F" w14:textId="77777777" w:rsidR="00A14C14" w:rsidRPr="004300A9" w:rsidRDefault="00000000">
      <w:pPr>
        <w:jc w:val="center"/>
        <w:rPr>
          <w:color w:val="000000" w:themeColor="text1"/>
        </w:rPr>
      </w:pPr>
      <w:r w:rsidRPr="004300A9">
        <w:rPr>
          <w:b/>
          <w:color w:val="000000" w:themeColor="text1"/>
          <w:sz w:val="26"/>
        </w:rPr>
        <w:t>IMM-2026-001</w:t>
      </w:r>
    </w:p>
    <w:p w14:paraId="77A58077" w14:textId="77777777" w:rsidR="00A14C14" w:rsidRPr="004300A9" w:rsidRDefault="00000000">
      <w:pPr>
        <w:jc w:val="center"/>
        <w:rPr>
          <w:color w:val="000000" w:themeColor="text1"/>
        </w:rPr>
      </w:pPr>
      <w:r w:rsidRPr="004300A9">
        <w:rPr>
          <w:i/>
          <w:color w:val="000000" w:themeColor="text1"/>
        </w:rPr>
        <w:t>Version 1.0</w:t>
      </w:r>
    </w:p>
    <w:p w14:paraId="233E3C1C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14C14" w:rsidRPr="004300A9" w14:paraId="6B25241F" w14:textId="77777777">
        <w:trPr>
          <w:jc w:val="center"/>
        </w:trPr>
        <w:tc>
          <w:tcPr>
            <w:tcW w:w="4320" w:type="dxa"/>
          </w:tcPr>
          <w:p w14:paraId="2594C0C9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6B4A4DA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Statistical Deliverables Sign-Off</w:t>
            </w:r>
          </w:p>
        </w:tc>
      </w:tr>
      <w:tr w:rsidR="00A14C14" w:rsidRPr="004300A9" w14:paraId="5FFF1EC9" w14:textId="77777777">
        <w:trPr>
          <w:jc w:val="center"/>
        </w:trPr>
        <w:tc>
          <w:tcPr>
            <w:tcW w:w="4320" w:type="dxa"/>
          </w:tcPr>
          <w:p w14:paraId="0AE7ACCE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4DD11C1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DOC-0107</w:t>
            </w:r>
          </w:p>
        </w:tc>
      </w:tr>
      <w:tr w:rsidR="00A14C14" w:rsidRPr="004300A9" w14:paraId="1C75E0FD" w14:textId="77777777">
        <w:trPr>
          <w:jc w:val="center"/>
        </w:trPr>
        <w:tc>
          <w:tcPr>
            <w:tcW w:w="4320" w:type="dxa"/>
          </w:tcPr>
          <w:p w14:paraId="594CE0A8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5536C7D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11.01.06</w:t>
            </w:r>
          </w:p>
        </w:tc>
      </w:tr>
      <w:tr w:rsidR="00A14C14" w:rsidRPr="004300A9" w14:paraId="0A948653" w14:textId="77777777">
        <w:trPr>
          <w:jc w:val="center"/>
        </w:trPr>
        <w:tc>
          <w:tcPr>
            <w:tcW w:w="4320" w:type="dxa"/>
          </w:tcPr>
          <w:p w14:paraId="7144FAD6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E57D508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IMM-2026-001</w:t>
            </w:r>
          </w:p>
        </w:tc>
      </w:tr>
      <w:tr w:rsidR="00A14C14" w:rsidRPr="004300A9" w14:paraId="114AC4BB" w14:textId="77777777">
        <w:trPr>
          <w:jc w:val="center"/>
        </w:trPr>
        <w:tc>
          <w:tcPr>
            <w:tcW w:w="4320" w:type="dxa"/>
          </w:tcPr>
          <w:p w14:paraId="7EF1DFB6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02046D9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Fictional Pharma Ltd.</w:t>
            </w:r>
          </w:p>
        </w:tc>
      </w:tr>
      <w:tr w:rsidR="00A14C14" w:rsidRPr="004300A9" w14:paraId="00B4658C" w14:textId="77777777">
        <w:trPr>
          <w:jc w:val="center"/>
        </w:trPr>
        <w:tc>
          <w:tcPr>
            <w:tcW w:w="4320" w:type="dxa"/>
          </w:tcPr>
          <w:p w14:paraId="7C6A01DD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9D66384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Immunology / Allergy</w:t>
            </w:r>
          </w:p>
        </w:tc>
      </w:tr>
      <w:tr w:rsidR="00A14C14" w:rsidRPr="004300A9" w14:paraId="147D9061" w14:textId="77777777">
        <w:trPr>
          <w:jc w:val="center"/>
        </w:trPr>
        <w:tc>
          <w:tcPr>
            <w:tcW w:w="4320" w:type="dxa"/>
          </w:tcPr>
          <w:p w14:paraId="23A84DE1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AC0760D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Moderate-to-Severe Atopic Dermatitis</w:t>
            </w:r>
          </w:p>
        </w:tc>
      </w:tr>
      <w:tr w:rsidR="00A14C14" w:rsidRPr="004300A9" w14:paraId="7DE2918B" w14:textId="77777777">
        <w:trPr>
          <w:jc w:val="center"/>
        </w:trPr>
        <w:tc>
          <w:tcPr>
            <w:tcW w:w="4320" w:type="dxa"/>
          </w:tcPr>
          <w:p w14:paraId="3018852F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7BA3726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Phase II</w:t>
            </w:r>
          </w:p>
        </w:tc>
      </w:tr>
      <w:tr w:rsidR="00A14C14" w:rsidRPr="004300A9" w14:paraId="51CC8F58" w14:textId="77777777">
        <w:trPr>
          <w:jc w:val="center"/>
        </w:trPr>
        <w:tc>
          <w:tcPr>
            <w:tcW w:w="4320" w:type="dxa"/>
          </w:tcPr>
          <w:p w14:paraId="77F676D5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539B474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Randomized, Double-Blind, Placebo-Controlled</w:t>
            </w:r>
          </w:p>
        </w:tc>
      </w:tr>
      <w:tr w:rsidR="00A14C14" w:rsidRPr="004300A9" w14:paraId="0FDBE67E" w14:textId="77777777">
        <w:trPr>
          <w:jc w:val="center"/>
        </w:trPr>
        <w:tc>
          <w:tcPr>
            <w:tcW w:w="4320" w:type="dxa"/>
          </w:tcPr>
          <w:p w14:paraId="2FA40E91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3CFA439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IMM-101</w:t>
            </w:r>
          </w:p>
        </w:tc>
      </w:tr>
      <w:tr w:rsidR="00A14C14" w:rsidRPr="004300A9" w14:paraId="5032F578" w14:textId="77777777">
        <w:trPr>
          <w:jc w:val="center"/>
        </w:trPr>
        <w:tc>
          <w:tcPr>
            <w:tcW w:w="4320" w:type="dxa"/>
          </w:tcPr>
          <w:p w14:paraId="022623B4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C345F26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Trial</w:t>
            </w:r>
          </w:p>
        </w:tc>
      </w:tr>
      <w:tr w:rsidR="00A14C14" w:rsidRPr="004300A9" w14:paraId="751A43F0" w14:textId="77777777">
        <w:trPr>
          <w:jc w:val="center"/>
        </w:trPr>
        <w:tc>
          <w:tcPr>
            <w:tcW w:w="4320" w:type="dxa"/>
          </w:tcPr>
          <w:p w14:paraId="4DFFE40F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CDCFE72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Global</w:t>
            </w:r>
          </w:p>
        </w:tc>
      </w:tr>
      <w:tr w:rsidR="00A14C14" w:rsidRPr="004300A9" w14:paraId="7E94BF5F" w14:textId="77777777">
        <w:trPr>
          <w:jc w:val="center"/>
        </w:trPr>
        <w:tc>
          <w:tcPr>
            <w:tcW w:w="4320" w:type="dxa"/>
          </w:tcPr>
          <w:p w14:paraId="0BAD3704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F244C6E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N/A</w:t>
            </w:r>
          </w:p>
        </w:tc>
      </w:tr>
      <w:tr w:rsidR="00A14C14" w:rsidRPr="004300A9" w14:paraId="68592403" w14:textId="77777777">
        <w:trPr>
          <w:jc w:val="center"/>
        </w:trPr>
        <w:tc>
          <w:tcPr>
            <w:tcW w:w="4320" w:type="dxa"/>
          </w:tcPr>
          <w:p w14:paraId="2B7E8E2F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1215F7E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1.0</w:t>
            </w:r>
          </w:p>
        </w:tc>
      </w:tr>
      <w:tr w:rsidR="00A14C14" w:rsidRPr="004300A9" w14:paraId="7D69E4AE" w14:textId="77777777">
        <w:trPr>
          <w:jc w:val="center"/>
        </w:trPr>
        <w:tc>
          <w:tcPr>
            <w:tcW w:w="4320" w:type="dxa"/>
          </w:tcPr>
          <w:p w14:paraId="3EC76C9E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39EC7F6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Effective</w:t>
            </w:r>
          </w:p>
        </w:tc>
      </w:tr>
      <w:tr w:rsidR="00A14C14" w:rsidRPr="004300A9" w14:paraId="55343EBF" w14:textId="77777777">
        <w:trPr>
          <w:jc w:val="center"/>
        </w:trPr>
        <w:tc>
          <w:tcPr>
            <w:tcW w:w="4320" w:type="dxa"/>
          </w:tcPr>
          <w:p w14:paraId="6276EFE1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7DD7092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07-Apr-2027</w:t>
            </w:r>
          </w:p>
        </w:tc>
      </w:tr>
      <w:tr w:rsidR="00A14C14" w:rsidRPr="004300A9" w14:paraId="00919292" w14:textId="77777777">
        <w:trPr>
          <w:jc w:val="center"/>
        </w:trPr>
        <w:tc>
          <w:tcPr>
            <w:tcW w:w="4320" w:type="dxa"/>
          </w:tcPr>
          <w:p w14:paraId="5057F795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9C1F2EF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Biostatistics</w:t>
            </w:r>
          </w:p>
        </w:tc>
      </w:tr>
    </w:tbl>
    <w:p w14:paraId="6BB0930C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t>1. Purpose</w:t>
      </w:r>
    </w:p>
    <w:p w14:paraId="70063369" w14:textId="77777777" w:rsidR="00A14C14" w:rsidRPr="004300A9" w:rsidRDefault="00000000">
      <w:pPr>
        <w:rPr>
          <w:color w:val="000000" w:themeColor="text1"/>
        </w:rPr>
      </w:pPr>
      <w:r w:rsidRPr="004300A9">
        <w:rPr>
          <w:color w:val="000000" w:themeColor="text1"/>
        </w:rPr>
        <w:t>Documents final review and sign-off of the fictional statistical deliverables and confirms completion of required statistical activities.</w:t>
      </w:r>
    </w:p>
    <w:p w14:paraId="38EF38B5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t>2. Study Context</w:t>
      </w:r>
    </w:p>
    <w:p w14:paraId="4C5F5171" w14:textId="77777777" w:rsidR="00A14C14" w:rsidRPr="004300A9" w:rsidRDefault="00000000">
      <w:pPr>
        <w:rPr>
          <w:color w:val="000000" w:themeColor="text1"/>
        </w:rPr>
      </w:pPr>
      <w:r w:rsidRPr="004300A9">
        <w:rPr>
          <w:color w:val="000000" w:themeColor="text1"/>
        </w:rPr>
        <w:t>This document applies to the fictional IMM-2026-001 Phase II clinical trial and supports consistent, traceable statistical planning, programming, analysis, review, and inspection readiness.</w:t>
      </w:r>
    </w:p>
    <w:p w14:paraId="7FC44625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t>3. Governance and Responsibilities</w:t>
      </w:r>
    </w:p>
    <w:p w14:paraId="27C40170" w14:textId="77777777" w:rsidR="00A14C14" w:rsidRPr="004300A9" w:rsidRDefault="00000000">
      <w:pPr>
        <w:rPr>
          <w:color w:val="000000" w:themeColor="text1"/>
        </w:rPr>
      </w:pPr>
      <w:r w:rsidRPr="004300A9">
        <w:rPr>
          <w:color w:val="000000" w:themeColor="text1"/>
        </w:rPr>
        <w:t>The document owner is Biostatistics. Relevant stakeholders include Biostatistics, Data Management, Clinical Operations, Medical Affairs, Quality Assurance, Regulatory Affairs, and Document Management as applicable.</w:t>
      </w:r>
    </w:p>
    <w:p w14:paraId="2577F33D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lastRenderedPageBreak/>
        <w:t>4. Process Requirements</w:t>
      </w:r>
    </w:p>
    <w:p w14:paraId="05BB44EE" w14:textId="77777777" w:rsidR="00A14C14" w:rsidRPr="004300A9" w:rsidRDefault="00000000">
      <w:pPr>
        <w:rPr>
          <w:color w:val="000000" w:themeColor="text1"/>
        </w:rPr>
      </w:pPr>
      <w:r w:rsidRPr="004300A9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7C5002CC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t>5. Oversight and Escalation</w:t>
      </w:r>
    </w:p>
    <w:p w14:paraId="24884FFC" w14:textId="77777777" w:rsidR="00A14C14" w:rsidRPr="004300A9" w:rsidRDefault="00000000">
      <w:pPr>
        <w:rPr>
          <w:color w:val="000000" w:themeColor="text1"/>
        </w:rPr>
      </w:pPr>
      <w:r w:rsidRPr="004300A9">
        <w:rPr>
          <w:color w:val="000000" w:themeColor="text1"/>
        </w:rPr>
        <w:t>Material statistical issues, programming discrepancies, output review findings, or unresolved analysis risks will be documented and escalated to appropriate study leadership.</w:t>
      </w:r>
    </w:p>
    <w:p w14:paraId="1C714466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t>6. Document Maintenance</w:t>
      </w:r>
    </w:p>
    <w:p w14:paraId="4059CC54" w14:textId="77777777" w:rsidR="00A14C14" w:rsidRPr="004300A9" w:rsidRDefault="00000000">
      <w:pPr>
        <w:rPr>
          <w:color w:val="000000" w:themeColor="text1"/>
        </w:rPr>
      </w:pPr>
      <w:r w:rsidRPr="004300A9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0009319" w14:textId="77777777" w:rsidR="00A14C14" w:rsidRPr="004300A9" w:rsidRDefault="00000000">
      <w:pPr>
        <w:pStyle w:val="Heading1"/>
        <w:rPr>
          <w:color w:val="000000" w:themeColor="text1"/>
        </w:rPr>
      </w:pPr>
      <w:r w:rsidRPr="004300A9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14C14" w:rsidRPr="004300A9" w14:paraId="49BE3EE8" w14:textId="77777777">
        <w:tc>
          <w:tcPr>
            <w:tcW w:w="2160" w:type="dxa"/>
          </w:tcPr>
          <w:p w14:paraId="41180517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188297B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FAC43A0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EAB3933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Description</w:t>
            </w:r>
          </w:p>
        </w:tc>
      </w:tr>
      <w:tr w:rsidR="00A14C14" w:rsidRPr="004300A9" w14:paraId="2592CA9F" w14:textId="77777777">
        <w:tc>
          <w:tcPr>
            <w:tcW w:w="2160" w:type="dxa"/>
          </w:tcPr>
          <w:p w14:paraId="22801AE8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794FAD8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07-Apr-2027</w:t>
            </w:r>
          </w:p>
        </w:tc>
        <w:tc>
          <w:tcPr>
            <w:tcW w:w="2160" w:type="dxa"/>
          </w:tcPr>
          <w:p w14:paraId="1967EBAA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Biostatistics</w:t>
            </w:r>
          </w:p>
        </w:tc>
        <w:tc>
          <w:tcPr>
            <w:tcW w:w="2160" w:type="dxa"/>
          </w:tcPr>
          <w:p w14:paraId="42C89F44" w14:textId="77777777" w:rsidR="00A14C14" w:rsidRPr="004300A9" w:rsidRDefault="00000000">
            <w:pPr>
              <w:rPr>
                <w:color w:val="000000" w:themeColor="text1"/>
              </w:rPr>
            </w:pPr>
            <w:r w:rsidRPr="004300A9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B740437" w14:textId="77777777" w:rsidR="00A14C14" w:rsidRPr="004300A9" w:rsidRDefault="00000000">
      <w:pPr>
        <w:rPr>
          <w:color w:val="000000" w:themeColor="text1"/>
        </w:rPr>
      </w:pPr>
      <w:r w:rsidRPr="004300A9">
        <w:rPr>
          <w:b/>
          <w:color w:val="000000" w:themeColor="text1"/>
        </w:rPr>
        <w:t xml:space="preserve">TRAINING USE ONLY — </w:t>
      </w:r>
      <w:r w:rsidRPr="004300A9">
        <w:rPr>
          <w:color w:val="000000" w:themeColor="text1"/>
        </w:rPr>
        <w:t>This document is fictional and is not a record from a real clinical trial.</w:t>
      </w:r>
    </w:p>
    <w:sectPr w:rsidR="00A14C14" w:rsidRPr="004300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636565">
    <w:abstractNumId w:val="8"/>
  </w:num>
  <w:num w:numId="2" w16cid:durableId="1147477086">
    <w:abstractNumId w:val="6"/>
  </w:num>
  <w:num w:numId="3" w16cid:durableId="1754859623">
    <w:abstractNumId w:val="5"/>
  </w:num>
  <w:num w:numId="4" w16cid:durableId="2146921906">
    <w:abstractNumId w:val="4"/>
  </w:num>
  <w:num w:numId="5" w16cid:durableId="1482043360">
    <w:abstractNumId w:val="7"/>
  </w:num>
  <w:num w:numId="6" w16cid:durableId="628896662">
    <w:abstractNumId w:val="3"/>
  </w:num>
  <w:num w:numId="7" w16cid:durableId="2114550251">
    <w:abstractNumId w:val="2"/>
  </w:num>
  <w:num w:numId="8" w16cid:durableId="462966904">
    <w:abstractNumId w:val="1"/>
  </w:num>
  <w:num w:numId="9" w16cid:durableId="1091240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0A9"/>
    <w:rsid w:val="00A14C14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D1E715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2026-08-18T19:10:00Z</dcterms:created>
  <dcterms:modified xsi:type="dcterms:W3CDTF">2026-08-18T19:10:00Z</dcterms:modified>
  <cp:category/>
</cp:coreProperties>
</file>