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EF31B" w14:textId="77777777" w:rsidR="00B57A04" w:rsidRPr="008272C4" w:rsidRDefault="00000000">
      <w:pPr>
        <w:jc w:val="center"/>
        <w:rPr>
          <w:color w:val="000000" w:themeColor="text1"/>
        </w:rPr>
      </w:pPr>
      <w:r w:rsidRPr="008272C4">
        <w:rPr>
          <w:b/>
          <w:color w:val="000000" w:themeColor="text1"/>
          <w:sz w:val="36"/>
        </w:rPr>
        <w:t>eTMF DOCUMENT LIFECYCLE &amp; QC WORKFLOW</w:t>
      </w:r>
    </w:p>
    <w:p w14:paraId="42B111C0" w14:textId="77777777" w:rsidR="00B57A04" w:rsidRPr="008272C4" w:rsidRDefault="00000000">
      <w:pPr>
        <w:jc w:val="center"/>
        <w:rPr>
          <w:color w:val="000000" w:themeColor="text1"/>
        </w:rPr>
      </w:pPr>
      <w:r w:rsidRPr="008272C4">
        <w:rPr>
          <w:b/>
          <w:color w:val="000000" w:themeColor="text1"/>
          <w:sz w:val="26"/>
        </w:rPr>
        <w:t>IMM-2026-001</w:t>
      </w:r>
    </w:p>
    <w:p w14:paraId="1E02BC68" w14:textId="77777777" w:rsidR="00B57A04" w:rsidRPr="008272C4" w:rsidRDefault="00000000">
      <w:pPr>
        <w:jc w:val="center"/>
        <w:rPr>
          <w:color w:val="000000" w:themeColor="text1"/>
        </w:rPr>
      </w:pPr>
      <w:r w:rsidRPr="008272C4">
        <w:rPr>
          <w:i/>
          <w:color w:val="000000" w:themeColor="text1"/>
        </w:rPr>
        <w:t>Version 1.0</w:t>
      </w:r>
    </w:p>
    <w:p w14:paraId="6A02AA76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57A04" w:rsidRPr="008272C4" w14:paraId="2F985F47" w14:textId="77777777">
        <w:trPr>
          <w:jc w:val="center"/>
        </w:trPr>
        <w:tc>
          <w:tcPr>
            <w:tcW w:w="4320" w:type="dxa"/>
          </w:tcPr>
          <w:p w14:paraId="0352520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82286C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eTMF Document Lifecycle &amp; QC Workflow</w:t>
            </w:r>
          </w:p>
        </w:tc>
      </w:tr>
      <w:tr w:rsidR="00B57A04" w:rsidRPr="008272C4" w14:paraId="033C3296" w14:textId="77777777">
        <w:trPr>
          <w:jc w:val="center"/>
        </w:trPr>
        <w:tc>
          <w:tcPr>
            <w:tcW w:w="4320" w:type="dxa"/>
          </w:tcPr>
          <w:p w14:paraId="038BE40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28B6ADF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SOP-IMM-2026-001-001</w:t>
            </w:r>
          </w:p>
        </w:tc>
      </w:tr>
      <w:tr w:rsidR="00B57A04" w:rsidRPr="008272C4" w14:paraId="35BB163F" w14:textId="77777777">
        <w:trPr>
          <w:jc w:val="center"/>
        </w:trPr>
        <w:tc>
          <w:tcPr>
            <w:tcW w:w="4320" w:type="dxa"/>
          </w:tcPr>
          <w:p w14:paraId="376D648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AB6111A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IMM-2026-001</w:t>
            </w:r>
          </w:p>
        </w:tc>
      </w:tr>
      <w:tr w:rsidR="00B57A04" w:rsidRPr="008272C4" w14:paraId="3CCDBC77" w14:textId="77777777">
        <w:trPr>
          <w:jc w:val="center"/>
        </w:trPr>
        <w:tc>
          <w:tcPr>
            <w:tcW w:w="4320" w:type="dxa"/>
          </w:tcPr>
          <w:p w14:paraId="655135D8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78B79D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1.0</w:t>
            </w:r>
          </w:p>
        </w:tc>
      </w:tr>
      <w:tr w:rsidR="00B57A04" w:rsidRPr="008272C4" w14:paraId="2D0D6EAB" w14:textId="77777777">
        <w:trPr>
          <w:jc w:val="center"/>
        </w:trPr>
        <w:tc>
          <w:tcPr>
            <w:tcW w:w="4320" w:type="dxa"/>
          </w:tcPr>
          <w:p w14:paraId="3BC40436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9E2636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Effective</w:t>
            </w:r>
          </w:p>
        </w:tc>
      </w:tr>
      <w:tr w:rsidR="00B57A04" w:rsidRPr="008272C4" w14:paraId="57247F54" w14:textId="77777777">
        <w:trPr>
          <w:jc w:val="center"/>
        </w:trPr>
        <w:tc>
          <w:tcPr>
            <w:tcW w:w="4320" w:type="dxa"/>
          </w:tcPr>
          <w:p w14:paraId="775B6BB0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093F296A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/ Clinical Operations</w:t>
            </w:r>
          </w:p>
        </w:tc>
      </w:tr>
      <w:tr w:rsidR="00B57A04" w:rsidRPr="008272C4" w14:paraId="76F6AE48" w14:textId="77777777">
        <w:trPr>
          <w:jc w:val="center"/>
        </w:trPr>
        <w:tc>
          <w:tcPr>
            <w:tcW w:w="4320" w:type="dxa"/>
          </w:tcPr>
          <w:p w14:paraId="2E359FB8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System Model</w:t>
            </w:r>
          </w:p>
        </w:tc>
        <w:tc>
          <w:tcPr>
            <w:tcW w:w="4320" w:type="dxa"/>
          </w:tcPr>
          <w:p w14:paraId="5A3D266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Veeva Vault-style eTMF simulation</w:t>
            </w:r>
          </w:p>
        </w:tc>
      </w:tr>
      <w:tr w:rsidR="00B57A04" w:rsidRPr="008272C4" w14:paraId="69F233C2" w14:textId="77777777">
        <w:trPr>
          <w:jc w:val="center"/>
        </w:trPr>
        <w:tc>
          <w:tcPr>
            <w:tcW w:w="4320" w:type="dxa"/>
          </w:tcPr>
          <w:p w14:paraId="7088E5D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Current Register</w:t>
            </w:r>
          </w:p>
        </w:tc>
        <w:tc>
          <w:tcPr>
            <w:tcW w:w="4320" w:type="dxa"/>
          </w:tcPr>
          <w:p w14:paraId="4EE608F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 documents</w:t>
            </w:r>
          </w:p>
        </w:tc>
      </w:tr>
      <w:tr w:rsidR="00B57A04" w:rsidRPr="008272C4" w14:paraId="2F817CDF" w14:textId="77777777">
        <w:trPr>
          <w:jc w:val="center"/>
        </w:trPr>
        <w:tc>
          <w:tcPr>
            <w:tcW w:w="4320" w:type="dxa"/>
          </w:tcPr>
          <w:p w14:paraId="0BB87F62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Purpose</w:t>
            </w:r>
          </w:p>
        </w:tc>
        <w:tc>
          <w:tcPr>
            <w:tcW w:w="4320" w:type="dxa"/>
          </w:tcPr>
          <w:p w14:paraId="3FFB8747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Training / portfolio project</w:t>
            </w:r>
          </w:p>
        </w:tc>
      </w:tr>
    </w:tbl>
    <w:p w14:paraId="15A034D5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2. Purpose</w:t>
      </w:r>
    </w:p>
    <w:p w14:paraId="3E177D3C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This workflow defines how a study document moves from initial registration through quality control, approval, effectiveness, and final filing. It is designed to demonstrate controlled document management and inspection-ready traceability in a fictional Veeva Vault-style eTMF environment.</w:t>
      </w:r>
    </w:p>
    <w:p w14:paraId="262C46EF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3. Lifecycle Overview</w:t>
      </w:r>
    </w:p>
    <w:p w14:paraId="0BA9F407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Created → QC Passed → Approved → Effective → Filed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B57A04" w:rsidRPr="008272C4" w14:paraId="3627D524" w14:textId="77777777">
        <w:tc>
          <w:tcPr>
            <w:tcW w:w="2160" w:type="dxa"/>
          </w:tcPr>
          <w:p w14:paraId="120362AC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Stage</w:t>
            </w:r>
          </w:p>
        </w:tc>
        <w:tc>
          <w:tcPr>
            <w:tcW w:w="2160" w:type="dxa"/>
          </w:tcPr>
          <w:p w14:paraId="26ED27D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Primary Owner</w:t>
            </w:r>
          </w:p>
        </w:tc>
        <w:tc>
          <w:tcPr>
            <w:tcW w:w="2160" w:type="dxa"/>
          </w:tcPr>
          <w:p w14:paraId="731D53C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Required Evidence</w:t>
            </w:r>
          </w:p>
        </w:tc>
        <w:tc>
          <w:tcPr>
            <w:tcW w:w="2160" w:type="dxa"/>
          </w:tcPr>
          <w:p w14:paraId="4723740C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Exit Criteria</w:t>
            </w:r>
          </w:p>
        </w:tc>
      </w:tr>
      <w:tr w:rsidR="00B57A04" w:rsidRPr="008272C4" w14:paraId="64ABC28F" w14:textId="77777777">
        <w:tc>
          <w:tcPr>
            <w:tcW w:w="2160" w:type="dxa"/>
          </w:tcPr>
          <w:p w14:paraId="31288552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Created</w:t>
            </w:r>
          </w:p>
        </w:tc>
        <w:tc>
          <w:tcPr>
            <w:tcW w:w="2160" w:type="dxa"/>
          </w:tcPr>
          <w:p w14:paraId="7A8F59F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Document Manager</w:t>
            </w:r>
          </w:p>
        </w:tc>
        <w:tc>
          <w:tcPr>
            <w:tcW w:w="2160" w:type="dxa"/>
          </w:tcPr>
          <w:p w14:paraId="687AC43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Document + metadata record</w:t>
            </w:r>
          </w:p>
        </w:tc>
        <w:tc>
          <w:tcPr>
            <w:tcW w:w="2160" w:type="dxa"/>
          </w:tcPr>
          <w:p w14:paraId="48C5BB3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Required metadata available</w:t>
            </w:r>
          </w:p>
        </w:tc>
      </w:tr>
      <w:tr w:rsidR="00B57A04" w:rsidRPr="008272C4" w14:paraId="367465A7" w14:textId="77777777">
        <w:tc>
          <w:tcPr>
            <w:tcW w:w="2160" w:type="dxa"/>
          </w:tcPr>
          <w:p w14:paraId="2C53CDC7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QC Passed</w:t>
            </w:r>
          </w:p>
        </w:tc>
        <w:tc>
          <w:tcPr>
            <w:tcW w:w="2160" w:type="dxa"/>
          </w:tcPr>
          <w:p w14:paraId="260A1F5D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QC Reviewer</w:t>
            </w:r>
          </w:p>
        </w:tc>
        <w:tc>
          <w:tcPr>
            <w:tcW w:w="2160" w:type="dxa"/>
          </w:tcPr>
          <w:p w14:paraId="6D6204FB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QC result / findings</w:t>
            </w:r>
          </w:p>
        </w:tc>
        <w:tc>
          <w:tcPr>
            <w:tcW w:w="2160" w:type="dxa"/>
          </w:tcPr>
          <w:p w14:paraId="6465F4FC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No blocking QC finding remains</w:t>
            </w:r>
          </w:p>
        </w:tc>
      </w:tr>
      <w:tr w:rsidR="00B57A04" w:rsidRPr="008272C4" w14:paraId="1CA1B074" w14:textId="77777777">
        <w:tc>
          <w:tcPr>
            <w:tcW w:w="2160" w:type="dxa"/>
          </w:tcPr>
          <w:p w14:paraId="2A6C860B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Approved</w:t>
            </w:r>
          </w:p>
        </w:tc>
        <w:tc>
          <w:tcPr>
            <w:tcW w:w="2160" w:type="dxa"/>
          </w:tcPr>
          <w:p w14:paraId="205F2DB0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Study Lead / Authorized Approver</w:t>
            </w:r>
          </w:p>
        </w:tc>
        <w:tc>
          <w:tcPr>
            <w:tcW w:w="2160" w:type="dxa"/>
          </w:tcPr>
          <w:p w14:paraId="7E687CAB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Approval record</w:t>
            </w:r>
          </w:p>
        </w:tc>
        <w:tc>
          <w:tcPr>
            <w:tcW w:w="2160" w:type="dxa"/>
          </w:tcPr>
          <w:p w14:paraId="0983B41F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Authorized approval completed</w:t>
            </w:r>
          </w:p>
        </w:tc>
      </w:tr>
      <w:tr w:rsidR="00B57A04" w:rsidRPr="008272C4" w14:paraId="0D18179F" w14:textId="77777777">
        <w:tc>
          <w:tcPr>
            <w:tcW w:w="2160" w:type="dxa"/>
          </w:tcPr>
          <w:p w14:paraId="01FB058C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Effective</w:t>
            </w:r>
          </w:p>
        </w:tc>
        <w:tc>
          <w:tcPr>
            <w:tcW w:w="2160" w:type="dxa"/>
          </w:tcPr>
          <w:p w14:paraId="1610703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Document Manager</w:t>
            </w:r>
          </w:p>
        </w:tc>
        <w:tc>
          <w:tcPr>
            <w:tcW w:w="2160" w:type="dxa"/>
          </w:tcPr>
          <w:p w14:paraId="0FAD320B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Effective date</w:t>
            </w:r>
          </w:p>
        </w:tc>
        <w:tc>
          <w:tcPr>
            <w:tcW w:w="2160" w:type="dxa"/>
          </w:tcPr>
          <w:p w14:paraId="02658E7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Approved version is active</w:t>
            </w:r>
          </w:p>
        </w:tc>
      </w:tr>
      <w:tr w:rsidR="00B57A04" w:rsidRPr="008272C4" w14:paraId="4416C248" w14:textId="77777777">
        <w:tc>
          <w:tcPr>
            <w:tcW w:w="2160" w:type="dxa"/>
          </w:tcPr>
          <w:p w14:paraId="704EE9C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Filed</w:t>
            </w:r>
          </w:p>
        </w:tc>
        <w:tc>
          <w:tcPr>
            <w:tcW w:w="2160" w:type="dxa"/>
          </w:tcPr>
          <w:p w14:paraId="1E6C79C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Document Manager</w:t>
            </w:r>
          </w:p>
        </w:tc>
        <w:tc>
          <w:tcPr>
            <w:tcW w:w="2160" w:type="dxa"/>
          </w:tcPr>
          <w:p w14:paraId="42881B0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Filing record</w:t>
            </w:r>
          </w:p>
        </w:tc>
        <w:tc>
          <w:tcPr>
            <w:tcW w:w="2160" w:type="dxa"/>
          </w:tcPr>
          <w:p w14:paraId="7A810E8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Correct artifact folder confirmed</w:t>
            </w:r>
          </w:p>
        </w:tc>
      </w:tr>
    </w:tbl>
    <w:p w14:paraId="38282663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lastRenderedPageBreak/>
        <w:t>4. Step-by-Step Workflow</w:t>
      </w:r>
    </w:p>
    <w:p w14:paraId="775582D2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4.1 Document Registration</w:t>
      </w:r>
    </w:p>
    <w:p w14:paraId="2688B0D8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document is created or received, assigned a Document ID and Artifact ID, and entered into the Master Register.</w:t>
      </w:r>
    </w:p>
    <w:p w14:paraId="64F5205D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4.2 Metadata Review</w:t>
      </w:r>
    </w:p>
    <w:p w14:paraId="2AE77E15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Title, version, zone, artifact, country/site applicability, dates, and filing location are checked for completeness.</w:t>
      </w:r>
    </w:p>
    <w:p w14:paraId="0DDCAD7F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4.3 QC</w:t>
      </w:r>
    </w:p>
    <w:p w14:paraId="65F887A6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A QC reviewer checks content presence, metadata accuracy, naming, classification, and lifecycle prerequisites. Findings are documented when applicable.</w:t>
      </w:r>
    </w:p>
    <w:p w14:paraId="0A78D315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4.4 Approval</w:t>
      </w:r>
    </w:p>
    <w:p w14:paraId="5846960F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An authorized study stakeholder reviews the QC-passed document and records the approval decision.</w:t>
      </w:r>
    </w:p>
    <w:p w14:paraId="26F79797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4.5 Effective</w:t>
      </w:r>
    </w:p>
    <w:p w14:paraId="037F430B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approved version is made effective. The effective date must occur after approval.</w:t>
      </w:r>
    </w:p>
    <w:p w14:paraId="443B9F8A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4.6 Filing</w:t>
      </w:r>
    </w:p>
    <w:p w14:paraId="3E6440DB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effective document is placed in the assigned artifact folder and the Filing Log is updated.</w:t>
      </w:r>
    </w:p>
    <w:p w14:paraId="2718F597" w14:textId="77777777" w:rsidR="00B57A04" w:rsidRPr="008272C4" w:rsidRDefault="00000000">
      <w:pPr>
        <w:pStyle w:val="Heading2"/>
        <w:rPr>
          <w:color w:val="000000" w:themeColor="text1"/>
        </w:rPr>
      </w:pPr>
      <w:r w:rsidRPr="008272C4">
        <w:rPr>
          <w:color w:val="000000" w:themeColor="text1"/>
        </w:rPr>
        <w:t>4.7 Audit Trail</w:t>
      </w:r>
    </w:p>
    <w:p w14:paraId="03926824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lifecycle transitions are recorded chronologically so that the document history can be reconstructed.</w:t>
      </w:r>
    </w:p>
    <w:p w14:paraId="22B1EF18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5. QC Checklist</w:t>
      </w:r>
    </w:p>
    <w:p w14:paraId="1F2E202C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Document ID is unique.</w:t>
      </w:r>
    </w:p>
    <w:p w14:paraId="4794F128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Artifact ID is valid and mapped to the correct TMF zone.</w:t>
      </w:r>
    </w:p>
    <w:p w14:paraId="37F455B6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Document title is consistent with the registered file.</w:t>
      </w:r>
    </w:p>
    <w:p w14:paraId="3388FA37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Version is correctly represented.</w:t>
      </w:r>
    </w:p>
    <w:p w14:paraId="28F3D451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File naming convention is followed.</w:t>
      </w:r>
    </w:p>
    <w:p w14:paraId="2D24F414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Required metadata fields are complete.</w:t>
      </w:r>
    </w:p>
    <w:p w14:paraId="7DB47622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Document is filed to the correct artifact folder.</w:t>
      </w:r>
    </w:p>
    <w:p w14:paraId="0F24F283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Any applicable country/site metadata is accurate.</w:t>
      </w:r>
    </w:p>
    <w:p w14:paraId="17783E52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No blocking QC finding remains before approval.</w:t>
      </w:r>
    </w:p>
    <w:p w14:paraId="7AFB8223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Lifecycle dates follow Created ≤ QC ≤ Approval ≤ Effective ≤ Filed.</w:t>
      </w:r>
    </w:p>
    <w:p w14:paraId="1DBC7B51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lastRenderedPageBreak/>
        <w:t>6. Approval Controls</w:t>
      </w:r>
    </w:p>
    <w:p w14:paraId="62D39CFA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Approval is treated as a controlled state transition. A document cannot become Effective before an approval event is recorded. Approval status and approval date are maintained in the Master Register and reflected in the lifecycle history.</w:t>
      </w:r>
    </w:p>
    <w:p w14:paraId="6B3A18C1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7. Effective Controls</w:t>
      </w:r>
    </w:p>
    <w:p w14:paraId="2ED4A092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Effective state represents the approved version that is active for intended use. The simulation does not silently overwrite prior versions. Version history remains traceable.</w:t>
      </w:r>
    </w:p>
    <w:p w14:paraId="2E20CFA4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8. Filing Controls</w:t>
      </w:r>
    </w:p>
    <w:p w14:paraId="3BCA8ECF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Filing is performed only after effectiveness. The Filing Log records the Document ID, Artifact ID, Zone, Filing Date, Filing Location, filing user, status, and QC result.</w:t>
      </w:r>
    </w:p>
    <w:p w14:paraId="64D578EF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9. Audit Trail</w:t>
      </w:r>
    </w:p>
    <w:p w14:paraId="6C8D4B94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The simulation records five core audit events per document: Create, QC, Approve, Make Effective, and File. With 96 registered documents, the current audit/lifecycle dataset contains 480 events.</w:t>
      </w:r>
    </w:p>
    <w:p w14:paraId="0399560B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10. Exception Handling</w:t>
      </w:r>
    </w:p>
    <w:p w14:paraId="2C869F6A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QC failure: document remains out of the approval path until blocking findings are resolved.</w:t>
      </w:r>
    </w:p>
    <w:p w14:paraId="439E80EC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Approval rejection: document does not become effective; required changes follow the applicable revision process.</w:t>
      </w:r>
    </w:p>
    <w:p w14:paraId="32C4A84A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Metadata discrepancy: correct the metadata and repeat the required QC review.</w:t>
      </w:r>
    </w:p>
    <w:p w14:paraId="3D78EE75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Incorrect filing: document is corrected to the appropriate artifact location and the correction remains traceable.</w:t>
      </w:r>
    </w:p>
    <w:p w14:paraId="6360D498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Superseded version: prior version remains traceable and is not deleted from the controlled history.</w:t>
      </w:r>
    </w:p>
    <w:p w14:paraId="14C8C01C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11. Current Simulation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57A04" w:rsidRPr="008272C4" w14:paraId="65064617" w14:textId="77777777">
        <w:tc>
          <w:tcPr>
            <w:tcW w:w="4320" w:type="dxa"/>
          </w:tcPr>
          <w:p w14:paraId="747EB36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Control</w:t>
            </w:r>
          </w:p>
        </w:tc>
        <w:tc>
          <w:tcPr>
            <w:tcW w:w="4320" w:type="dxa"/>
          </w:tcPr>
          <w:p w14:paraId="3BB68B2E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Current Status</w:t>
            </w:r>
          </w:p>
        </w:tc>
      </w:tr>
      <w:tr w:rsidR="00B57A04" w:rsidRPr="008272C4" w14:paraId="7E954E77" w14:textId="77777777">
        <w:tc>
          <w:tcPr>
            <w:tcW w:w="4320" w:type="dxa"/>
          </w:tcPr>
          <w:p w14:paraId="3CBBCD27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Registered documents</w:t>
            </w:r>
          </w:p>
        </w:tc>
        <w:tc>
          <w:tcPr>
            <w:tcW w:w="4320" w:type="dxa"/>
          </w:tcPr>
          <w:p w14:paraId="0BBA211F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</w:t>
            </w:r>
          </w:p>
        </w:tc>
      </w:tr>
      <w:tr w:rsidR="00B57A04" w:rsidRPr="008272C4" w14:paraId="40F30C7F" w14:textId="77777777">
        <w:tc>
          <w:tcPr>
            <w:tcW w:w="4320" w:type="dxa"/>
          </w:tcPr>
          <w:p w14:paraId="40F031E0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Metadata QC</w:t>
            </w:r>
          </w:p>
        </w:tc>
        <w:tc>
          <w:tcPr>
            <w:tcW w:w="4320" w:type="dxa"/>
          </w:tcPr>
          <w:p w14:paraId="59B647F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PASS</w:t>
            </w:r>
          </w:p>
        </w:tc>
      </w:tr>
      <w:tr w:rsidR="00B57A04" w:rsidRPr="008272C4" w14:paraId="69070016" w14:textId="77777777">
        <w:tc>
          <w:tcPr>
            <w:tcW w:w="4320" w:type="dxa"/>
          </w:tcPr>
          <w:p w14:paraId="47332819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QC Passed</w:t>
            </w:r>
          </w:p>
        </w:tc>
        <w:tc>
          <w:tcPr>
            <w:tcW w:w="4320" w:type="dxa"/>
          </w:tcPr>
          <w:p w14:paraId="10961742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96/96</w:t>
            </w:r>
          </w:p>
        </w:tc>
      </w:tr>
      <w:tr w:rsidR="00B57A04" w:rsidRPr="008272C4" w14:paraId="6E979CC4" w14:textId="77777777">
        <w:tc>
          <w:tcPr>
            <w:tcW w:w="4320" w:type="dxa"/>
          </w:tcPr>
          <w:p w14:paraId="4C9B4646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Approved</w:t>
            </w:r>
          </w:p>
        </w:tc>
        <w:tc>
          <w:tcPr>
            <w:tcW w:w="4320" w:type="dxa"/>
          </w:tcPr>
          <w:p w14:paraId="7BE3D60D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96/96</w:t>
            </w:r>
          </w:p>
        </w:tc>
      </w:tr>
      <w:tr w:rsidR="00B57A04" w:rsidRPr="008272C4" w14:paraId="7986718D" w14:textId="77777777">
        <w:tc>
          <w:tcPr>
            <w:tcW w:w="4320" w:type="dxa"/>
          </w:tcPr>
          <w:p w14:paraId="4966088F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Effective</w:t>
            </w:r>
          </w:p>
        </w:tc>
        <w:tc>
          <w:tcPr>
            <w:tcW w:w="4320" w:type="dxa"/>
          </w:tcPr>
          <w:p w14:paraId="6A632B7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96/96</w:t>
            </w:r>
          </w:p>
        </w:tc>
      </w:tr>
      <w:tr w:rsidR="00B57A04" w:rsidRPr="008272C4" w14:paraId="315AAD15" w14:textId="77777777">
        <w:tc>
          <w:tcPr>
            <w:tcW w:w="4320" w:type="dxa"/>
          </w:tcPr>
          <w:p w14:paraId="35BF36D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Filed</w:t>
            </w:r>
          </w:p>
        </w:tc>
        <w:tc>
          <w:tcPr>
            <w:tcW w:w="4320" w:type="dxa"/>
          </w:tcPr>
          <w:p w14:paraId="03A6CEDD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96/96</w:t>
            </w:r>
          </w:p>
        </w:tc>
      </w:tr>
      <w:tr w:rsidR="00B57A04" w:rsidRPr="008272C4" w14:paraId="73E618CD" w14:textId="77777777">
        <w:tc>
          <w:tcPr>
            <w:tcW w:w="4320" w:type="dxa"/>
          </w:tcPr>
          <w:p w14:paraId="7EAECC5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Lifecycle events</w:t>
            </w:r>
          </w:p>
        </w:tc>
        <w:tc>
          <w:tcPr>
            <w:tcW w:w="4320" w:type="dxa"/>
          </w:tcPr>
          <w:p w14:paraId="12E19A38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480</w:t>
            </w:r>
          </w:p>
        </w:tc>
      </w:tr>
      <w:tr w:rsidR="00B57A04" w:rsidRPr="008272C4" w14:paraId="550C2541" w14:textId="77777777">
        <w:tc>
          <w:tcPr>
            <w:tcW w:w="4320" w:type="dxa"/>
          </w:tcPr>
          <w:p w14:paraId="5D527518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Audit events</w:t>
            </w:r>
          </w:p>
        </w:tc>
        <w:tc>
          <w:tcPr>
            <w:tcW w:w="4320" w:type="dxa"/>
          </w:tcPr>
          <w:p w14:paraId="3F6306E4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480</w:t>
            </w:r>
          </w:p>
        </w:tc>
      </w:tr>
      <w:tr w:rsidR="00B57A04" w:rsidRPr="008272C4" w14:paraId="7F94BCA4" w14:textId="77777777">
        <w:tc>
          <w:tcPr>
            <w:tcW w:w="4320" w:type="dxa"/>
          </w:tcPr>
          <w:p w14:paraId="4DFE12F1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Filing Log records</w:t>
            </w:r>
          </w:p>
        </w:tc>
        <w:tc>
          <w:tcPr>
            <w:tcW w:w="4320" w:type="dxa"/>
          </w:tcPr>
          <w:p w14:paraId="272989B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96</w:t>
            </w:r>
          </w:p>
        </w:tc>
      </w:tr>
      <w:tr w:rsidR="00B57A04" w:rsidRPr="008272C4" w14:paraId="6A838F4B" w14:textId="77777777">
        <w:tc>
          <w:tcPr>
            <w:tcW w:w="4320" w:type="dxa"/>
          </w:tcPr>
          <w:p w14:paraId="0815E242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lastRenderedPageBreak/>
              <w:t>Final eTMF QC</w:t>
            </w:r>
          </w:p>
        </w:tc>
        <w:tc>
          <w:tcPr>
            <w:tcW w:w="4320" w:type="dxa"/>
          </w:tcPr>
          <w:p w14:paraId="4A95A90F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PASS</w:t>
            </w:r>
          </w:p>
        </w:tc>
      </w:tr>
    </w:tbl>
    <w:p w14:paraId="541D3132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12. Roles</w:t>
      </w:r>
    </w:p>
    <w:p w14:paraId="7EF53C27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TMF Document Manager — registration, metadata administration, effectiveness and filing.</w:t>
      </w:r>
    </w:p>
    <w:p w14:paraId="2111A113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TMF QC Reviewer — document and metadata quality review.</w:t>
      </w:r>
    </w:p>
    <w:p w14:paraId="3C5D27F3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Study Lead / Authorized Approver — approval decision.</w:t>
      </w:r>
    </w:p>
    <w:p w14:paraId="5CD26B25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Clinical Operations — operational ownership and oversight.</w:t>
      </w:r>
    </w:p>
    <w:p w14:paraId="0F654A6E" w14:textId="77777777" w:rsidR="00B57A04" w:rsidRPr="008272C4" w:rsidRDefault="00000000">
      <w:pPr>
        <w:pStyle w:val="ListBullet"/>
        <w:rPr>
          <w:color w:val="000000" w:themeColor="text1"/>
        </w:rPr>
      </w:pPr>
      <w:r w:rsidRPr="008272C4">
        <w:rPr>
          <w:color w:val="000000" w:themeColor="text1"/>
        </w:rPr>
        <w:t>Quality Assurance — independent quality oversight where applicable.</w:t>
      </w:r>
    </w:p>
    <w:p w14:paraId="3BE50539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13. Simulation Disclaimer</w:t>
      </w:r>
    </w:p>
    <w:p w14:paraId="5C063C70" w14:textId="77777777" w:rsidR="00B57A04" w:rsidRPr="008272C4" w:rsidRDefault="00000000">
      <w:pPr>
        <w:rPr>
          <w:color w:val="000000" w:themeColor="text1"/>
        </w:rPr>
      </w:pPr>
      <w:r w:rsidRPr="008272C4">
        <w:rPr>
          <w:color w:val="000000" w:themeColor="text1"/>
        </w:rPr>
        <w:t>IMM-2026-001 is fictional. This workflow demonstrates eTMF concepts and does not represent a production Veeva Vault configuration or records from a real clinical trial.</w:t>
      </w:r>
    </w:p>
    <w:p w14:paraId="764981A1" w14:textId="77777777" w:rsidR="00B57A04" w:rsidRPr="008272C4" w:rsidRDefault="00000000">
      <w:pPr>
        <w:pStyle w:val="Heading1"/>
        <w:rPr>
          <w:color w:val="000000" w:themeColor="text1"/>
        </w:rPr>
      </w:pPr>
      <w:r w:rsidRPr="008272C4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57A04" w:rsidRPr="008272C4" w14:paraId="42B3CB39" w14:textId="77777777">
        <w:tc>
          <w:tcPr>
            <w:tcW w:w="2160" w:type="dxa"/>
          </w:tcPr>
          <w:p w14:paraId="7CFF01BC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5DF27A10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3A419FE3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029FACC6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Description</w:t>
            </w:r>
          </w:p>
        </w:tc>
      </w:tr>
      <w:tr w:rsidR="00B57A04" w:rsidRPr="008272C4" w14:paraId="19EA2EBF" w14:textId="77777777">
        <w:tc>
          <w:tcPr>
            <w:tcW w:w="2160" w:type="dxa"/>
          </w:tcPr>
          <w:p w14:paraId="0688126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2D365827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18-Aug-2026</w:t>
            </w:r>
          </w:p>
        </w:tc>
        <w:tc>
          <w:tcPr>
            <w:tcW w:w="2160" w:type="dxa"/>
          </w:tcPr>
          <w:p w14:paraId="18E09122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TMF / Clinical Operations</w:t>
            </w:r>
          </w:p>
        </w:tc>
        <w:tc>
          <w:tcPr>
            <w:tcW w:w="2160" w:type="dxa"/>
          </w:tcPr>
          <w:p w14:paraId="7A2C8B55" w14:textId="77777777" w:rsidR="00B57A04" w:rsidRPr="008272C4" w:rsidRDefault="00000000">
            <w:pPr>
              <w:rPr>
                <w:color w:val="000000" w:themeColor="text1"/>
              </w:rPr>
            </w:pPr>
            <w:r w:rsidRPr="008272C4">
              <w:rPr>
                <w:color w:val="000000" w:themeColor="text1"/>
              </w:rPr>
              <w:t>Initial workflow specification.</w:t>
            </w:r>
          </w:p>
        </w:tc>
      </w:tr>
    </w:tbl>
    <w:p w14:paraId="48101A65" w14:textId="77777777" w:rsidR="00B57A04" w:rsidRPr="008272C4" w:rsidRDefault="00000000">
      <w:pPr>
        <w:rPr>
          <w:color w:val="000000" w:themeColor="text1"/>
        </w:rPr>
      </w:pPr>
      <w:r w:rsidRPr="008272C4">
        <w:rPr>
          <w:b/>
          <w:color w:val="000000" w:themeColor="text1"/>
        </w:rPr>
        <w:t xml:space="preserve">TRAINING / PORTFOLIO USE ONLY — </w:t>
      </w:r>
      <w:r w:rsidRPr="008272C4">
        <w:rPr>
          <w:color w:val="000000" w:themeColor="text1"/>
        </w:rPr>
        <w:t>IMM-2026-001 is a fictional study.</w:t>
      </w:r>
    </w:p>
    <w:sectPr w:rsidR="00B57A04" w:rsidRPr="00827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796306">
    <w:abstractNumId w:val="8"/>
  </w:num>
  <w:num w:numId="2" w16cid:durableId="829373107">
    <w:abstractNumId w:val="6"/>
  </w:num>
  <w:num w:numId="3" w16cid:durableId="1202328314">
    <w:abstractNumId w:val="5"/>
  </w:num>
  <w:num w:numId="4" w16cid:durableId="1880629677">
    <w:abstractNumId w:val="4"/>
  </w:num>
  <w:num w:numId="5" w16cid:durableId="1830438290">
    <w:abstractNumId w:val="7"/>
  </w:num>
  <w:num w:numId="6" w16cid:durableId="2021153629">
    <w:abstractNumId w:val="3"/>
  </w:num>
  <w:num w:numId="7" w16cid:durableId="1308710142">
    <w:abstractNumId w:val="2"/>
  </w:num>
  <w:num w:numId="8" w16cid:durableId="2029209227">
    <w:abstractNumId w:val="1"/>
  </w:num>
  <w:num w:numId="9" w16cid:durableId="690404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272C4"/>
    <w:rsid w:val="00AA1D8D"/>
    <w:rsid w:val="00B47730"/>
    <w:rsid w:val="00B57A04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62F9D7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2026-08-18T19:35:00Z</dcterms:created>
  <dcterms:modified xsi:type="dcterms:W3CDTF">2026-08-18T19:35:00Z</dcterms:modified>
  <cp:category/>
</cp:coreProperties>
</file>