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4D3E"/>
          <w:sz w:val="72"/>
          <w:szCs w:val="72"/>
        </w:rPr>
        <w:t xml:space="preserve">ALPMERA</w:t>
      </w:r>
    </w:p>
    <w:p>
      <w:pPr>
        <w:spacing w:after="400"/>
        <w:jc w:val="center"/>
      </w:pPr>
      <w:r>
        <w:rPr>
          <w:rFonts w:ascii="Arial" w:cs="Arial" w:eastAsia="Arial" w:hAnsi="Arial"/>
          <w:color w:val="2D2D2D"/>
          <w:sz w:val="36"/>
          <w:szCs w:val="36"/>
        </w:rPr>
        <w:t xml:space="preserve">Brand Voice Guide</w:t>
      </w:r>
    </w:p>
    <w:p>
      <w:pPr>
        <w:spacing w:after="200"/>
        <w:jc w:val="center"/>
      </w:pPr>
      <w:r>
        <w:rPr>
          <w:rFonts w:ascii="Arial" w:cs="Arial" w:eastAsia="Arial" w:hAnsi="Arial"/>
          <w:i/>
          <w:iCs/>
          <w:color w:val="5A5A5A"/>
          <w:sz w:val="22"/>
          <w:szCs w:val="22"/>
        </w:rPr>
        <w:t xml:space="preserve">Version 2.1 | Phase 1-2</w:t>
      </w:r>
    </w:p>
    <w:p>
      <w:pPr>
        <w:spacing w:after="300"/>
      </w:pPr>
    </w:p>
    <w:p>
      <w:pPr>
        <w:jc w:val="center"/>
      </w:pPr>
      <w:r>
        <w:rPr>
          <w:rFonts w:ascii="Arial" w:cs="Arial" w:eastAsia="Arial" w:hAnsi="Arial"/>
          <w:i/>
          <w:iCs/>
          <w:color w:val="C9A962"/>
          <w:sz w:val="28"/>
          <w:szCs w:val="28"/>
        </w:rPr>
        <w:t xml:space="preserve">"Together, we unlock what alone we cannot reach."</w:t>
      </w:r>
    </w:p>
    <w:p>
      <w:r>
        <w:br w:type="page"/>
      </w:r>
    </w:p>
    <w:p>
      <w:pPr>
        <w:pStyle w:val="Heading1"/>
        <w:spacing w:before="400" w:after="200"/>
      </w:pPr>
      <w:r>
        <w:rPr>
          <w:rFonts w:ascii="Arial" w:cs="Arial" w:eastAsia="Arial" w:hAnsi="Arial"/>
          <w:b/>
          <w:bCs/>
          <w:color w:val="1B4D3E"/>
          <w:sz w:val="32"/>
          <w:szCs w:val="32"/>
        </w:rPr>
        <w:t xml:space="preserve">1. Brand Essence</w:t>
      </w:r>
    </w:p>
    <w:p>
      <w:pPr>
        <w:pStyle w:val="Heading2"/>
        <w:spacing w:before="300" w:after="150"/>
      </w:pPr>
      <w:r>
        <w:rPr>
          <w:rFonts w:ascii="Arial" w:cs="Arial" w:eastAsia="Arial" w:hAnsi="Arial"/>
          <w:b/>
          <w:bCs/>
          <w:color w:val="1B4D3E"/>
          <w:sz w:val="26"/>
          <w:szCs w:val="26"/>
        </w:rPr>
        <w:t xml:space="preserve">1.1 The Core Promise</w:t>
      </w:r>
    </w:p>
    <w:p>
      <w:pPr>
        <w:spacing w:after="150"/>
      </w:pPr>
      <w:r>
        <w:rPr>
          <w:rFonts w:ascii="Arial" w:cs="Arial" w:eastAsia="Arial" w:hAnsi="Arial"/>
          <w:b w:val="false"/>
          <w:bCs w:val="false"/>
          <w:i w:val="false"/>
          <w:iCs w:val="false"/>
          <w:color w:val="2D2D2D"/>
          <w:sz w:val="22"/>
          <w:szCs w:val="22"/>
        </w:rPr>
        <w:t xml:space="preserve">Alpmera is a consumer-focused collective buying operator. We run campaigns end-to-end, hold participant funds in escrow-style protection, manage procurement and fulfillment, and issue full refunds when campaigns fail.</w:t>
      </w:r>
    </w:p>
    <w:p>
      <w:pPr>
        <w:spacing w:after="150"/>
      </w:pPr>
      <w:r>
        <w:rPr>
          <w:rFonts w:ascii="Arial" w:cs="Arial" w:eastAsia="Arial" w:hAnsi="Arial"/>
          <w:b w:val="false"/>
          <w:bCs w:val="false"/>
          <w:i w:val="false"/>
          <w:iCs w:val="false"/>
          <w:color w:val="2D2D2D"/>
          <w:sz w:val="22"/>
          <w:szCs w:val="22"/>
        </w:rPr>
        <w:t xml:space="preserve">We are not a marketplace. We are not a deal site. We are not a middleman. We are the operator who takes responsibility.</w:t>
      </w:r>
    </w:p>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200"/>
              <w:left w:type="dxa" w:w="300"/>
              <w:bottom w:type="dxa" w:w="200"/>
              <w:right w:type="dxa" w:w="300"/>
            </w:tcMar>
          </w:tcPr>
          <w:p>
            <w:pPr>
              <w:spacing w:after="100"/>
            </w:pPr>
            <w:r>
              <w:rPr>
                <w:rFonts w:ascii="Arial" w:cs="Arial" w:eastAsia="Arial" w:hAnsi="Arial"/>
                <w:b/>
                <w:bCs/>
                <w:color w:val="1B4D3E"/>
                <w:sz w:val="20"/>
                <w:szCs w:val="20"/>
              </w:rPr>
              <w:t xml:space="preserve">POSITIONING STATEMENT</w:t>
            </w:r>
          </w:p>
          <w:p>
            <w:r>
              <w:rPr>
                <w:rFonts w:ascii="Arial" w:cs="Arial" w:eastAsia="Arial" w:hAnsi="Arial"/>
                <w:color w:val="2D2D2D"/>
                <w:sz w:val="22"/>
                <w:szCs w:val="22"/>
              </w:rPr>
              <w:t xml:space="preserve">Alpmera enables consumers to achieve collective purchasing power through operator-managed campaigns with full financial protection.</w:t>
            </w:r>
          </w:p>
        </w:tc>
      </w:tr>
    </w:tbl>
    <w:p>
      <w:pPr>
        <w:pStyle w:val="Heading2"/>
        <w:spacing w:before="300" w:after="150"/>
      </w:pPr>
      <w:r>
        <w:rPr>
          <w:rFonts w:ascii="Arial" w:cs="Arial" w:eastAsia="Arial" w:hAnsi="Arial"/>
          <w:b/>
          <w:bCs/>
          <w:color w:val="1B4D3E"/>
          <w:sz w:val="26"/>
          <w:szCs w:val="26"/>
        </w:rPr>
        <w:t xml:space="preserve">1.2 Brand Taglines</w:t>
      </w:r>
    </w:p>
    <w:p>
      <w:pPr>
        <w:spacing w:after="150"/>
      </w:pPr>
      <w:r>
        <w:rPr>
          <w:rFonts w:ascii="Arial" w:cs="Arial" w:eastAsia="Arial" w:hAnsi="Arial"/>
          <w:b w:val="false"/>
          <w:bCs w:val="false"/>
          <w:i w:val="false"/>
          <w:iCs w:val="false"/>
          <w:color w:val="2D2D2D"/>
          <w:sz w:val="22"/>
          <w:szCs w:val="22"/>
        </w:rPr>
        <w:t xml:space="preserve">Primary Tagline (external communications):</w:t>
      </w:r>
    </w:p>
    <w:p>
      <w:pPr>
        <w:spacing w:before="100" w:after="200"/>
      </w:pPr>
      <w:r>
        <w:rPr>
          <w:rFonts w:ascii="Arial" w:cs="Arial" w:eastAsia="Arial" w:hAnsi="Arial"/>
          <w:b/>
          <w:bCs/>
          <w:color w:val="1B4D3E"/>
          <w:sz w:val="26"/>
          <w:szCs w:val="26"/>
        </w:rPr>
        <w:t xml:space="preserve">"Together, we unlock what alone we cannot reach."</w:t>
      </w:r>
    </w:p>
    <w:p>
      <w:pPr>
        <w:spacing w:after="150"/>
      </w:pPr>
      <w:r>
        <w:rPr>
          <w:rFonts w:ascii="Arial" w:cs="Arial" w:eastAsia="Arial" w:hAnsi="Arial"/>
          <w:b w:val="false"/>
          <w:bCs w:val="false"/>
          <w:i w:val="false"/>
          <w:iCs w:val="false"/>
          <w:color w:val="2D2D2D"/>
          <w:sz w:val="22"/>
          <w:szCs w:val="22"/>
        </w:rPr>
        <w:t xml:space="preserve">Secondary Taglines (contextual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Context</w:t>
            </w:r>
          </w:p>
        </w:tc>
        <w:tc>
          <w:tcPr>
            <w:tcW w:type="dxa" w:w="58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Tagline</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pages</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"Your commitment. Our responsibility."</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Trust messaging</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"Protected until proven."</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Community focus</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"Collective strength. Individual protection."</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Failure/refund context</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success, no cost. That's our promise."</w:t>
            </w:r>
          </w:p>
        </w:tc>
      </w:tr>
    </w:tbl>
    <w:p>
      <w:r>
        <w:br w:type="page"/>
      </w:r>
    </w:p>
    <w:p>
      <w:pPr>
        <w:pStyle w:val="Heading1"/>
        <w:spacing w:before="400" w:after="200"/>
      </w:pPr>
      <w:r>
        <w:rPr>
          <w:rFonts w:ascii="Arial" w:cs="Arial" w:eastAsia="Arial" w:hAnsi="Arial"/>
          <w:b/>
          <w:bCs/>
          <w:color w:val="1B4D3E"/>
          <w:sz w:val="32"/>
          <w:szCs w:val="32"/>
        </w:rPr>
        <w:t xml:space="preserve">2. Visual Identity</w:t>
      </w:r>
    </w:p>
    <w:p>
      <w:pPr>
        <w:pStyle w:val="Heading2"/>
        <w:spacing w:before="300" w:after="150"/>
      </w:pPr>
      <w:r>
        <w:rPr>
          <w:rFonts w:ascii="Arial" w:cs="Arial" w:eastAsia="Arial" w:hAnsi="Arial"/>
          <w:b/>
          <w:bCs/>
          <w:color w:val="1B4D3E"/>
          <w:sz w:val="26"/>
          <w:szCs w:val="26"/>
        </w:rPr>
        <w:t xml:space="preserve">2.1 Color Palette</w:t>
      </w:r>
    </w:p>
    <w:p>
      <w:pPr>
        <w:spacing w:after="150"/>
      </w:pPr>
      <w:r>
        <w:rPr>
          <w:rFonts w:ascii="Arial" w:cs="Arial" w:eastAsia="Arial" w:hAnsi="Arial"/>
          <w:b w:val="false"/>
          <w:bCs w:val="false"/>
          <w:i w:val="false"/>
          <w:iCs w:val="false"/>
          <w:color w:val="2D2D2D"/>
          <w:sz w:val="22"/>
          <w:szCs w:val="22"/>
        </w:rPr>
        <w:t xml:space="preserve">The Alpmera palette communicates trust, warmth, and quiet confidence. These are not startup colors. These are institution colors.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Color</w:t>
            </w:r>
          </w:p>
        </w:tc>
        <w:tc>
          <w:tcPr>
            <w:tcW w:type="dxa" w:w="18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Hex</w:t>
            </w:r>
          </w:p>
        </w:tc>
        <w:tc>
          <w:tcPr>
            <w:tcW w:type="dxa" w:w="28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Name</w:t>
            </w:r>
          </w:p>
        </w:tc>
        <w:tc>
          <w:tcPr>
            <w:tcW w:type="dxa" w:w="27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Usage</w:t>
            </w:r>
          </w:p>
        </w:tc>
      </w:tr>
      <w:tr>
        <w:tc>
          <w:tcPr>
            <w:tcW w:type="dxa" w:w="20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#1B4D3E</w:t>
            </w:r>
          </w:p>
        </w:tc>
        <w:tc>
          <w:tcPr>
            <w:tcW w:type="dxa" w:w="2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Deep Forest</w:t>
            </w:r>
          </w:p>
        </w:tc>
        <w:tc>
          <w:tcPr>
            <w:tcW w:type="dxa" w:w="27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Primary brand, CTAs, headers</w:t>
            </w:r>
          </w:p>
        </w:tc>
      </w:tr>
      <w:tr>
        <w:tc>
          <w:tcPr>
            <w:tcW w:type="dxa" w:w="2000"/>
            <w:tcBorders>
              <w:top w:val="single" w:color="D4CFC7" w:sz="1"/>
              <w:left w:val="single" w:color="D4CFC7" w:sz="1"/>
              <w:bottom w:val="single" w:color="D4CFC7" w:sz="1"/>
              <w:right w:val="single" w:color="D4CFC7" w:sz="1"/>
            </w:tcBorders>
            <w:shd w:fill="E8DED1"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#E8DED1</w:t>
            </w:r>
          </w:p>
        </w:tc>
        <w:tc>
          <w:tcPr>
            <w:tcW w:type="dxa" w:w="2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Warm Stone</w:t>
            </w:r>
          </w:p>
        </w:tc>
        <w:tc>
          <w:tcPr>
            <w:tcW w:type="dxa" w:w="27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Backgrounds, cards, warmth</w:t>
            </w:r>
          </w:p>
        </w:tc>
      </w:tr>
      <w:tr>
        <w:tc>
          <w:tcPr>
            <w:tcW w:type="dxa" w:w="2000"/>
            <w:tcBorders>
              <w:top w:val="single" w:color="D4CFC7" w:sz="1"/>
              <w:left w:val="single" w:color="D4CFC7" w:sz="1"/>
              <w:bottom w:val="single" w:color="D4CFC7" w:sz="1"/>
              <w:right w:val="single" w:color="D4CFC7" w:sz="1"/>
            </w:tcBorders>
            <w:shd w:fill="C9A962"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#C9A962</w:t>
            </w:r>
          </w:p>
        </w:tc>
        <w:tc>
          <w:tcPr>
            <w:tcW w:type="dxa" w:w="2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Muted Gold</w:t>
            </w:r>
          </w:p>
        </w:tc>
        <w:tc>
          <w:tcPr>
            <w:tcW w:type="dxa" w:w="27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Success states, highlights</w:t>
            </w:r>
          </w:p>
        </w:tc>
      </w:tr>
      <w:tr>
        <w:tc>
          <w:tcPr>
            <w:tcW w:type="dxa" w:w="2000"/>
            <w:tcBorders>
              <w:top w:val="single" w:color="D4CFC7" w:sz="1"/>
              <w:left w:val="single" w:color="D4CFC7" w:sz="1"/>
              <w:bottom w:val="single" w:color="D4CFC7" w:sz="1"/>
              <w:right w:val="single" w:color="D4CFC7" w:sz="1"/>
            </w:tcBorders>
            <w:shd w:fill="2D2D2D"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#2D2D2D</w:t>
            </w:r>
          </w:p>
        </w:tc>
        <w:tc>
          <w:tcPr>
            <w:tcW w:type="dxa" w:w="2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Soft Black</w:t>
            </w:r>
          </w:p>
        </w:tc>
        <w:tc>
          <w:tcPr>
            <w:tcW w:type="dxa" w:w="27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Body text, primary content</w:t>
            </w:r>
          </w:p>
        </w:tc>
      </w:tr>
      <w:tr>
        <w:tc>
          <w:tcPr>
            <w:tcW w:type="dxa" w:w="200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#8B3A3A</w:t>
            </w:r>
          </w:p>
        </w:tc>
        <w:tc>
          <w:tcPr>
            <w:tcW w:type="dxa" w:w="2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Muted Burgundy</w:t>
            </w:r>
          </w:p>
        </w:tc>
        <w:tc>
          <w:tcPr>
            <w:tcW w:type="dxa" w:w="27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Failures, warnings, alerts</w:t>
            </w:r>
          </w:p>
        </w:tc>
      </w:tr>
      <w:tr>
        <w:tc>
          <w:tcPr>
            <w:tcW w:type="dxa" w:w="2000"/>
            <w:tcBorders>
              <w:top w:val="single" w:color="D4CFC7" w:sz="1"/>
              <w:left w:val="single" w:color="D4CFC7" w:sz="1"/>
              <w:bottom w:val="single" w:color="D4CFC7" w:sz="1"/>
              <w:right w:val="single" w:color="D4CFC7" w:sz="1"/>
            </w:tcBorders>
            <w:shd w:fill="3A6B5A" w:val="clear"/>
            <w:tcMar>
              <w:top w:type="dxa" w:w="100"/>
              <w:left w:type="dxa" w:w="150"/>
              <w:bottom w:type="dxa" w:w="100"/>
              <w:right w:type="dxa" w:w="150"/>
            </w:tcMar>
          </w:tcPr>
          <w:p>
            <w:r>
              <w:rPr>
                <w:rFonts w:ascii="Arial" w:cs="Arial" w:eastAsia="Arial" w:hAnsi="Arial"/>
                <w:sz w:val="20"/>
                <w:szCs w:val="20"/>
              </w:rPr>
              <w:t xml:space="preserve"> </w:t>
            </w:r>
          </w:p>
        </w:tc>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#3A6B5A</w:t>
            </w:r>
          </w:p>
        </w:tc>
        <w:tc>
          <w:tcPr>
            <w:tcW w:type="dxa" w:w="2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Forest Light</w:t>
            </w:r>
          </w:p>
        </w:tc>
        <w:tc>
          <w:tcPr>
            <w:tcW w:type="dxa" w:w="27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Success confirmations</w:t>
            </w:r>
          </w:p>
        </w:tc>
      </w:tr>
    </w:tbl>
    <w:p>
      <w:pPr>
        <w:spacing w:after="200"/>
      </w:pPr>
    </w:p>
    <w:p>
      <w:pPr>
        <w:spacing w:after="150"/>
      </w:pPr>
      <w:r>
        <w:rPr>
          <w:rFonts w:ascii="Arial" w:cs="Arial" w:eastAsia="Arial" w:hAnsi="Arial"/>
          <w:b/>
          <w:bCs/>
          <w:i w:val="false"/>
          <w:iCs w:val="false"/>
          <w:color w:val="2D2D2D"/>
          <w:sz w:val="22"/>
          <w:szCs w:val="22"/>
        </w:rPr>
        <w:t xml:space="preserve">Color Psychology Rationale:</w:t>
      </w:r>
    </w:p>
    <w:p>
      <w:pPr>
        <w:spacing w:after="150"/>
      </w:pPr>
      <w:r>
        <w:rPr>
          <w:rFonts w:ascii="Arial" w:cs="Arial" w:eastAsia="Arial" w:hAnsi="Arial"/>
          <w:b w:val="false"/>
          <w:bCs w:val="false"/>
          <w:i w:val="false"/>
          <w:iCs w:val="false"/>
          <w:color w:val="2D2D2D"/>
          <w:sz w:val="22"/>
          <w:szCs w:val="22"/>
        </w:rPr>
        <w:t xml:space="preserve">Deep Forest (#1B4D3E): Conveys institutional trust, stability, and longevity. Unlike bright greens that suggest growth or startups, this shade says "we've been here, we'll stay here."</w:t>
      </w:r>
    </w:p>
    <w:p>
      <w:pPr>
        <w:spacing w:after="150"/>
      </w:pPr>
      <w:r>
        <w:rPr>
          <w:rFonts w:ascii="Arial" w:cs="Arial" w:eastAsia="Arial" w:hAnsi="Arial"/>
          <w:b w:val="false"/>
          <w:bCs w:val="false"/>
          <w:i w:val="false"/>
          <w:iCs w:val="false"/>
          <w:color w:val="2D2D2D"/>
          <w:sz w:val="22"/>
          <w:szCs w:val="22"/>
        </w:rPr>
        <w:t xml:space="preserve">Warm Stone (#E8DED1): Prevents the brand from feeling cold or corporate. Adds humanity and approachability without becoming casual.</w:t>
      </w:r>
    </w:p>
    <w:p>
      <w:pPr>
        <w:spacing w:after="150"/>
      </w:pPr>
      <w:r>
        <w:rPr>
          <w:rFonts w:ascii="Arial" w:cs="Arial" w:eastAsia="Arial" w:hAnsi="Arial"/>
          <w:b w:val="false"/>
          <w:bCs w:val="false"/>
          <w:i w:val="false"/>
          <w:iCs w:val="false"/>
          <w:color w:val="2D2D2D"/>
          <w:sz w:val="22"/>
          <w:szCs w:val="22"/>
        </w:rPr>
        <w:t xml:space="preserve">Muted Gold (#C9A962): Success without flashiness. Achievement without bragging. This is not a "winner" gold—it's a "we did it together" gold.</w:t>
      </w:r>
    </w:p>
    <w:p>
      <w:pPr>
        <w:pStyle w:val="Heading2"/>
        <w:spacing w:before="300" w:after="150"/>
      </w:pPr>
      <w:r>
        <w:rPr>
          <w:rFonts w:ascii="Arial" w:cs="Arial" w:eastAsia="Arial" w:hAnsi="Arial"/>
          <w:b/>
          <w:bCs/>
          <w:color w:val="1B4D3E"/>
          <w:sz w:val="26"/>
          <w:szCs w:val="26"/>
        </w:rPr>
        <w:t xml:space="preserve">2.2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Element</w:t>
            </w:r>
          </w:p>
        </w:tc>
        <w:tc>
          <w:tcPr>
            <w:tcW w:type="dxa" w:w="234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Font</w:t>
            </w:r>
          </w:p>
        </w:tc>
        <w:tc>
          <w:tcPr>
            <w:tcW w:type="dxa" w:w="234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Weight</w:t>
            </w:r>
          </w:p>
        </w:tc>
        <w:tc>
          <w:tcPr>
            <w:tcW w:type="dxa" w:w="234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Size</w:t>
            </w:r>
          </w:p>
        </w:tc>
      </w:tr>
      <w:tr>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Display/Logo</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Libre Baskerville</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Regular</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32-48px</w:t>
            </w:r>
          </w:p>
        </w:tc>
      </w:tr>
      <w:tr>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Headlines</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Inter</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SemiBold (600)</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24-32px</w:t>
            </w:r>
          </w:p>
        </w:tc>
      </w:tr>
      <w:tr>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Body</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Inter</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Regular (400)</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16-18px</w:t>
            </w:r>
          </w:p>
        </w:tc>
      </w:tr>
      <w:tr>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UI/Labels</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Inter</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Medium (500)</w:t>
            </w:r>
          </w:p>
        </w:tc>
        <w:tc>
          <w:tcPr>
            <w:tcW w:type="dxa" w:w="234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14px</w:t>
            </w:r>
          </w:p>
        </w:tc>
      </w:tr>
      <w:tr>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Captions/Legal</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Inter</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Regular (400)</w:t>
            </w:r>
          </w:p>
        </w:tc>
        <w:tc>
          <w:tcPr>
            <w:tcW w:type="dxa" w:w="234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12px</w:t>
            </w:r>
          </w:p>
        </w:tc>
      </w:tr>
    </w:tbl>
    <w:p>
      <w:pPr>
        <w:spacing w:after="150"/>
      </w:pPr>
    </w:p>
    <w:p>
      <w:pPr>
        <w:spacing w:after="150"/>
      </w:pPr>
      <w:r>
        <w:rPr>
          <w:rFonts w:ascii="Arial" w:cs="Arial" w:eastAsia="Arial" w:hAnsi="Arial"/>
          <w:b/>
          <w:bCs/>
          <w:i w:val="false"/>
          <w:iCs w:val="false"/>
          <w:color w:val="2D2D2D"/>
          <w:sz w:val="22"/>
          <w:szCs w:val="22"/>
        </w:rPr>
        <w:t xml:space="preserve">Typography Rationale:</w:t>
      </w:r>
    </w:p>
    <w:p>
      <w:pPr>
        <w:spacing w:after="150"/>
      </w:pPr>
      <w:r>
        <w:rPr>
          <w:rFonts w:ascii="Arial" w:cs="Arial" w:eastAsia="Arial" w:hAnsi="Arial"/>
          <w:b w:val="false"/>
          <w:bCs w:val="false"/>
          <w:i w:val="false"/>
          <w:iCs w:val="false"/>
          <w:color w:val="2D2D2D"/>
          <w:sz w:val="22"/>
          <w:szCs w:val="22"/>
        </w:rPr>
        <w:t xml:space="preserve">Libre Baskerville for display text creates gravitas—this is a serif that says "institution" not "newspaper." Inter for everything else ensures clarity and modernity without trend-chasing.</w:t>
      </w:r>
    </w:p>
    <w:p>
      <w:r>
        <w:br w:type="page"/>
      </w:r>
    </w:p>
    <w:p>
      <w:pPr>
        <w:pStyle w:val="Heading1"/>
        <w:spacing w:before="400" w:after="200"/>
      </w:pPr>
      <w:r>
        <w:rPr>
          <w:rFonts w:ascii="Arial" w:cs="Arial" w:eastAsia="Arial" w:hAnsi="Arial"/>
          <w:b/>
          <w:bCs/>
          <w:color w:val="1B4D3E"/>
          <w:sz w:val="32"/>
          <w:szCs w:val="32"/>
        </w:rPr>
        <w:t xml:space="preserve">3. Campaign Progress System</w:t>
      </w:r>
    </w:p>
    <w:p>
      <w:pPr>
        <w:pStyle w:val="Heading2"/>
        <w:spacing w:before="300" w:after="150"/>
      </w:pPr>
      <w:r>
        <w:rPr>
          <w:rFonts w:ascii="Arial" w:cs="Arial" w:eastAsia="Arial" w:hAnsi="Arial"/>
          <w:b/>
          <w:bCs/>
          <w:color w:val="1B4D3E"/>
          <w:sz w:val="26"/>
          <w:szCs w:val="26"/>
        </w:rPr>
        <w:t xml:space="preserve">3.1 Progress Stage Framework</w:t>
      </w:r>
    </w:p>
    <w:p>
      <w:pPr>
        <w:spacing w:after="150"/>
      </w:pPr>
      <w:r>
        <w:rPr>
          <w:rFonts w:ascii="Arial" w:cs="Arial" w:eastAsia="Arial" w:hAnsi="Arial"/>
          <w:b w:val="false"/>
          <w:bCs w:val="false"/>
          <w:i w:val="false"/>
          <w:iCs w:val="false"/>
          <w:color w:val="2D2D2D"/>
          <w:sz w:val="22"/>
          <w:szCs w:val="22"/>
        </w:rPr>
        <w:t xml:space="preserve">Alpmera uses a stage-based progress system that communicates momentum without exposing operational thresholds. This protects supplier relationships while keeping participants informed.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200"/>
              <w:left w:type="dxa" w:w="300"/>
              <w:bottom w:type="dxa" w:w="200"/>
              <w:right w:type="dxa" w:w="300"/>
            </w:tcMar>
          </w:tcPr>
          <w:p>
            <w:pPr>
              <w:spacing w:after="100"/>
            </w:pPr>
            <w:r>
              <w:rPr>
                <w:rFonts w:ascii="Arial" w:cs="Arial" w:eastAsia="Arial" w:hAnsi="Arial"/>
                <w:b/>
                <w:bCs/>
                <w:color w:val="8B3A3A"/>
                <w:sz w:val="20"/>
                <w:szCs w:val="20"/>
              </w:rPr>
              <w:t xml:space="preserve">CRITICAL PRINCIPLE</w:t>
            </w:r>
          </w:p>
          <w:p>
            <w:r>
              <w:rPr>
                <w:rFonts w:ascii="Arial" w:cs="Arial" w:eastAsia="Arial" w:hAnsi="Arial"/>
                <w:color w:val="2D2D2D"/>
                <w:sz w:val="22"/>
                <w:szCs w:val="22"/>
              </w:rPr>
              <w:t xml:space="preserve">Never display participant counts, thresholds, or any numbers that reveal campaign minimums. All progress is communicated through stages and milestone percentages only.</w:t>
            </w:r>
          </w:p>
        </w:tc>
      </w:tr>
    </w:tbl>
    <w:p>
      <w:pPr>
        <w:spacing w:after="200"/>
      </w:pPr>
    </w:p>
    <w:p>
      <w:pPr>
        <w:pStyle w:val="Heading2"/>
        <w:spacing w:before="300" w:after="150"/>
      </w:pPr>
      <w:r>
        <w:rPr>
          <w:rFonts w:ascii="Arial" w:cs="Arial" w:eastAsia="Arial" w:hAnsi="Arial"/>
          <w:b/>
          <w:bCs/>
          <w:color w:val="1B4D3E"/>
          <w:sz w:val="26"/>
          <w:szCs w:val="26"/>
        </w:rPr>
        <w:t xml:space="preserve">3.2 The Five Progress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Range</w:t>
            </w:r>
          </w:p>
        </w:tc>
        <w:tc>
          <w:tcPr>
            <w:tcW w:type="dxa" w:w="25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Stage Name</w:t>
            </w:r>
          </w:p>
        </w:tc>
        <w:tc>
          <w:tcPr>
            <w:tcW w:type="dxa" w:w="50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Display Format</w:t>
            </w:r>
          </w:p>
        </w:tc>
      </w:tr>
      <w:tr>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0–19%</w:t>
            </w:r>
          </w:p>
        </w:tc>
        <w:tc>
          <w:tcPr>
            <w:tcW w:type="dxa" w:w="2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Gathering</w:t>
            </w:r>
          </w:p>
        </w:tc>
        <w:tc>
          <w:tcPr>
            <w:tcW w:type="dxa" w:w="50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Gathering (approaching 20%)</w:t>
            </w:r>
          </w:p>
        </w:tc>
      </w:tr>
      <w:tr>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20% exactly</w:t>
            </w:r>
          </w:p>
        </w:tc>
        <w:tc>
          <w:tcPr>
            <w:tcW w:type="dxa" w:w="2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Gathering</w:t>
            </w:r>
          </w:p>
        </w:tc>
        <w:tc>
          <w:tcPr>
            <w:tcW w:type="dxa" w:w="50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Gathering (20% reached)</w:t>
            </w:r>
          </w:p>
        </w:tc>
      </w:tr>
      <w:tr>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21–49%</w:t>
            </w:r>
          </w:p>
        </w:tc>
        <w:tc>
          <w:tcPr>
            <w:tcW w:type="dxa" w:w="2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Building</w:t>
            </w:r>
          </w:p>
        </w:tc>
        <w:tc>
          <w:tcPr>
            <w:tcW w:type="dxa" w:w="50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(approaching 50%)</w:t>
            </w:r>
          </w:p>
        </w:tc>
      </w:tr>
      <w:tr>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50% exactly</w:t>
            </w:r>
          </w:p>
        </w:tc>
        <w:tc>
          <w:tcPr>
            <w:tcW w:type="dxa" w:w="2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Building</w:t>
            </w:r>
          </w:p>
        </w:tc>
        <w:tc>
          <w:tcPr>
            <w:tcW w:type="dxa" w:w="50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(50% reached)</w:t>
            </w:r>
          </w:p>
        </w:tc>
      </w:tr>
      <w:tr>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51–74%</w:t>
            </w:r>
          </w:p>
        </w:tc>
        <w:tc>
          <w:tcPr>
            <w:tcW w:type="dxa" w:w="2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Gaining Momentum</w:t>
            </w:r>
          </w:p>
        </w:tc>
        <w:tc>
          <w:tcPr>
            <w:tcW w:type="dxa" w:w="50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Gaining Momentum (approaching 75%)</w:t>
            </w:r>
          </w:p>
        </w:tc>
      </w:tr>
      <w:tr>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75% exactly</w:t>
            </w:r>
          </w:p>
        </w:tc>
        <w:tc>
          <w:tcPr>
            <w:tcW w:type="dxa" w:w="2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Gaining Momentum</w:t>
            </w:r>
          </w:p>
        </w:tc>
        <w:tc>
          <w:tcPr>
            <w:tcW w:type="dxa" w:w="50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Gaining Momentum (75% reached)</w:t>
            </w:r>
          </w:p>
        </w:tc>
      </w:tr>
      <w:tr>
        <w:tc>
          <w:tcPr>
            <w:tcW w:type="dxa" w:w="18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76–99%</w:t>
            </w:r>
          </w:p>
        </w:tc>
        <w:tc>
          <w:tcPr>
            <w:tcW w:type="dxa" w:w="2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Almost There</w:t>
            </w:r>
          </w:p>
        </w:tc>
        <w:tc>
          <w:tcPr>
            <w:tcW w:type="dxa" w:w="50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Almost There (approaching 100%)</w:t>
            </w:r>
          </w:p>
        </w:tc>
      </w:tr>
      <w:tr>
        <w:tc>
          <w:tcPr>
            <w:tcW w:type="dxa" w:w="18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100%</w:t>
            </w:r>
          </w:p>
        </w:tc>
        <w:tc>
          <w:tcPr>
            <w:tcW w:type="dxa" w:w="2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Goal Reached</w:t>
            </w:r>
          </w:p>
        </w:tc>
        <w:tc>
          <w:tcPr>
            <w:tcW w:type="dxa" w:w="50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Goal Reached ✓</w:t>
            </w:r>
          </w:p>
        </w:tc>
      </w:tr>
    </w:tbl>
    <w:p>
      <w:pPr>
        <w:spacing w:after="200"/>
      </w:pPr>
    </w:p>
    <w:p>
      <w:pPr>
        <w:pStyle w:val="Heading2"/>
        <w:spacing w:before="300" w:after="150"/>
      </w:pPr>
      <w:r>
        <w:rPr>
          <w:rFonts w:ascii="Arial" w:cs="Arial" w:eastAsia="Arial" w:hAnsi="Arial"/>
          <w:b/>
          <w:bCs/>
          <w:color w:val="1B4D3E"/>
          <w:sz w:val="26"/>
          <w:szCs w:val="26"/>
        </w:rPr>
        <w:t xml:space="preserve">3.3 Why This System</w:t>
      </w:r>
    </w:p>
    <w:p>
      <w:pPr>
        <w:spacing w:after="150"/>
      </w:pPr>
      <w:r>
        <w:rPr>
          <w:rFonts w:ascii="Arial" w:cs="Arial" w:eastAsia="Arial" w:hAnsi="Arial"/>
          <w:b w:val="false"/>
          <w:bCs w:val="false"/>
          <w:i w:val="false"/>
          <w:iCs w:val="false"/>
          <w:color w:val="2D2D2D"/>
          <w:sz w:val="22"/>
          <w:szCs w:val="22"/>
        </w:rPr>
        <w:t xml:space="preserve">Participant benefit: Clear sense of momentum and phase without information overload.</w:t>
      </w:r>
    </w:p>
    <w:p>
      <w:pPr>
        <w:spacing w:after="150"/>
      </w:pPr>
      <w:r>
        <w:rPr>
          <w:rFonts w:ascii="Arial" w:cs="Arial" w:eastAsia="Arial" w:hAnsi="Arial"/>
          <w:b w:val="false"/>
          <w:bCs w:val="false"/>
          <w:i w:val="false"/>
          <w:iCs w:val="false"/>
          <w:color w:val="2D2D2D"/>
          <w:sz w:val="22"/>
          <w:szCs w:val="22"/>
        </w:rPr>
        <w:t xml:space="preserve">Operational benefit: Protects supplier agreements, MOQ thresholds, and cost structures from competitive analysis.</w:t>
      </w:r>
    </w:p>
    <w:p>
      <w:pPr>
        <w:spacing w:after="150"/>
      </w:pPr>
      <w:r>
        <w:rPr>
          <w:rFonts w:ascii="Arial" w:cs="Arial" w:eastAsia="Arial" w:hAnsi="Arial"/>
          <w:b w:val="false"/>
          <w:bCs w:val="false"/>
          <w:i w:val="false"/>
          <w:iCs w:val="false"/>
          <w:color w:val="2D2D2D"/>
          <w:sz w:val="22"/>
          <w:szCs w:val="22"/>
        </w:rPr>
        <w:t xml:space="preserve">Trust alignment: Percentages are honest—we're not hiding progress, just abstracting the underlying math.</w:t>
      </w:r>
    </w:p>
    <w:p>
      <w:pPr>
        <w:spacing w:after="200"/>
      </w:pPr>
    </w:p>
    <w:p>
      <w:pPr>
        <w:pStyle w:val="Heading2"/>
        <w:spacing w:before="300" w:after="150"/>
      </w:pPr>
      <w:r>
        <w:rPr>
          <w:rFonts w:ascii="Arial" w:cs="Arial" w:eastAsia="Arial" w:hAnsi="Arial"/>
          <w:b/>
          <w:bCs/>
          <w:color w:val="1B4D3E"/>
          <w:sz w:val="26"/>
          <w:szCs w:val="26"/>
        </w:rPr>
        <w:t xml:space="preserve">3.4 Forbidden Progress Displays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Never Display</w:t>
            </w:r>
          </w:p>
        </w:tc>
        <w:tc>
          <w:tcPr>
            <w:tcW w:type="dxa" w:w="468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Why It's Forbidden</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"47 of 50 participants"</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Exposes exact MOQ threshold</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"3 more needed"</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Reveals remaining threshold gap</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"$9,250 target"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Exposes total campaign value</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"94% complete"</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Precise % allows reverse calculation</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Participant count of any kind</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Any count enables MOQ math</w:t>
            </w:r>
          </w:p>
        </w:tc>
      </w:tr>
    </w:tbl>
    <w:p>
      <w:r>
        <w:br w:type="page"/>
      </w:r>
    </w:p>
    <w:p>
      <w:pPr>
        <w:pStyle w:val="Heading1"/>
        <w:spacing w:before="400" w:after="200"/>
      </w:pPr>
      <w:r>
        <w:rPr>
          <w:rFonts w:ascii="Arial" w:cs="Arial" w:eastAsia="Arial" w:hAnsi="Arial"/>
          <w:b/>
          <w:bCs/>
          <w:color w:val="1B4D3E"/>
          <w:sz w:val="32"/>
          <w:szCs w:val="32"/>
        </w:rPr>
        <w:t xml:space="preserve">4. Alpmera Certified Program</w:t>
      </w:r>
    </w:p>
    <w:p>
      <w:pPr>
        <w:pStyle w:val="Heading2"/>
        <w:spacing w:before="300" w:after="150"/>
      </w:pPr>
      <w:r>
        <w:rPr>
          <w:rFonts w:ascii="Arial" w:cs="Arial" w:eastAsia="Arial" w:hAnsi="Arial"/>
          <w:b/>
          <w:bCs/>
          <w:color w:val="1B4D3E"/>
          <w:sz w:val="26"/>
          <w:szCs w:val="26"/>
        </w:rPr>
        <w:t xml:space="preserve">4.1 What It Communicates</w:t>
      </w:r>
    </w:p>
    <w:p>
      <w:pPr>
        <w:spacing w:after="150"/>
      </w:pPr>
      <w:r>
        <w:rPr>
          <w:rFonts w:ascii="Arial" w:cs="Arial" w:eastAsia="Arial" w:hAnsi="Arial"/>
          <w:b w:val="false"/>
          <w:bCs w:val="false"/>
          <w:i w:val="false"/>
          <w:iCs w:val="false"/>
          <w:color w:val="2D2D2D"/>
          <w:sz w:val="22"/>
          <w:szCs w:val="22"/>
        </w:rPr>
        <w:t xml:space="preserve">"Alpmera Certified" is our trust signal that tells participants: we've done the work so you don't have to. It answers the unspoken question every first-time participant has: "Why should I trust this manufacturer?"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200"/>
              <w:left w:type="dxa" w:w="300"/>
              <w:bottom w:type="dxa" w:w="200"/>
              <w:right w:type="dxa" w:w="300"/>
            </w:tcMar>
          </w:tcPr>
          <w:p>
            <w:pPr>
              <w:spacing w:after="100"/>
            </w:pPr>
            <w:r>
              <w:rPr>
                <w:rFonts w:ascii="Arial" w:cs="Arial" w:eastAsia="Arial" w:hAnsi="Arial"/>
                <w:b/>
                <w:bCs/>
                <w:color w:val="1B4D3E"/>
                <w:sz w:val="20"/>
                <w:szCs w:val="20"/>
              </w:rPr>
              <w:t xml:space="preserve">THE CERTIFICATION PROMISE</w:t>
            </w:r>
          </w:p>
          <w:p>
            <w:r>
              <w:rPr>
                <w:rFonts w:ascii="Arial" w:cs="Arial" w:eastAsia="Arial" w:hAnsi="Arial"/>
                <w:color w:val="2D2D2D"/>
                <w:sz w:val="22"/>
                <w:szCs w:val="22"/>
              </w:rPr>
              <w:t xml:space="preserve">Every manufacturer on Alpmera has passed our certification process. We evaluate quality, reliability, and fulfillment capability. If a certified manufacturer fails to deliver, Alpmera takes full responsibility.</w:t>
            </w:r>
          </w:p>
        </w:tc>
      </w:tr>
    </w:tbl>
    <w:p>
      <w:pPr>
        <w:spacing w:after="200"/>
      </w:pPr>
    </w:p>
    <w:p>
      <w:pPr>
        <w:pStyle w:val="Heading2"/>
        <w:spacing w:before="300" w:after="150"/>
      </w:pPr>
      <w:r>
        <w:rPr>
          <w:rFonts w:ascii="Arial" w:cs="Arial" w:eastAsia="Arial" w:hAnsi="Arial"/>
          <w:b/>
          <w:bCs/>
          <w:color w:val="1B4D3E"/>
          <w:sz w:val="26"/>
          <w:szCs w:val="26"/>
        </w:rPr>
        <w:t xml:space="preserve">4.2 Visual Badge</w:t>
      </w:r>
    </w:p>
    <w:p>
      <w:pPr>
        <w:spacing w:after="150"/>
      </w:pPr>
      <w:r>
        <w:rPr>
          <w:rFonts w:ascii="Arial" w:cs="Arial" w:eastAsia="Arial" w:hAnsi="Arial"/>
          <w:b w:val="false"/>
          <w:bCs w:val="false"/>
          <w:i w:val="false"/>
          <w:iCs w:val="false"/>
          <w:color w:val="2D2D2D"/>
          <w:sz w:val="22"/>
          <w:szCs w:val="22"/>
        </w:rPr>
        <w:t xml:space="preserve">The Alpmera Certified badge appears on every campaign page, immediately below the campaign title or in the header area.</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Element</w:t>
            </w:r>
          </w:p>
        </w:tc>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Specification</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Badge text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 Alpmera Certified Manufacturer</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Text color</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#3A6B5A (Forest Light)</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Font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Inter SemiBold, 14px</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Checkmark</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 in Forest Light, precedes text</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Placement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Above campaign title or in campaign header</w:t>
            </w:r>
          </w:p>
        </w:tc>
      </w:tr>
    </w:tbl>
    <w:p>
      <w:pPr>
        <w:spacing w:after="200"/>
      </w:pPr>
    </w:p>
    <w:p>
      <w:pPr>
        <w:pStyle w:val="Heading2"/>
        <w:spacing w:before="300" w:after="150"/>
      </w:pPr>
      <w:r>
        <w:rPr>
          <w:rFonts w:ascii="Arial" w:cs="Arial" w:eastAsia="Arial" w:hAnsi="Arial"/>
          <w:b/>
          <w:bCs/>
          <w:color w:val="1B4D3E"/>
          <w:sz w:val="26"/>
          <w:szCs w:val="26"/>
        </w:rPr>
        <w:t xml:space="preserve">4.3 Certification Messaging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3A6B5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Say This</w:t>
            </w:r>
          </w:p>
        </w:tc>
        <w:tc>
          <w:tcPr>
            <w:tcW w:type="dxa" w:w="468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Never Say This</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"Alpmera Certified Manufacturer"</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"Verified seller"</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"Passed our certification process"</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"Trusted partner"</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"Meets our standards"</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"Top-rated manufacturer"</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"We stand behind this manufacturer"</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"Industry-leading quality"</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"If they fail, we take responsibility"</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"Guaranteed satisfaction"</w:t>
            </w:r>
          </w:p>
        </w:tc>
      </w:tr>
    </w:tbl>
    <w:p>
      <w:pPr>
        <w:spacing w:after="200"/>
      </w:pPr>
    </w:p>
    <w:p>
      <w:pPr>
        <w:pStyle w:val="Heading2"/>
        <w:spacing w:before="300" w:after="150"/>
      </w:pPr>
      <w:r>
        <w:rPr>
          <w:rFonts w:ascii="Arial" w:cs="Arial" w:eastAsia="Arial" w:hAnsi="Arial"/>
          <w:b/>
          <w:bCs/>
          <w:color w:val="1B4D3E"/>
          <w:sz w:val="26"/>
          <w:szCs w:val="26"/>
        </w:rPr>
        <w:t xml:space="preserve">4.4 What Stays Hidden</w:t>
      </w:r>
    </w:p>
    <w:p>
      <w:pPr>
        <w:spacing w:after="150"/>
      </w:pPr>
      <w:r>
        <w:rPr>
          <w:rFonts w:ascii="Arial" w:cs="Arial" w:eastAsia="Arial" w:hAnsi="Arial"/>
          <w:b w:val="false"/>
          <w:bCs w:val="false"/>
          <w:i w:val="false"/>
          <w:iCs w:val="false"/>
          <w:color w:val="2D2D2D"/>
          <w:sz w:val="22"/>
          <w:szCs w:val="22"/>
        </w:rPr>
        <w:t xml:space="preserve">The certification creates operator authority without exposing operational details: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Protected Information</w:t>
            </w:r>
          </w:p>
        </w:tc>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Why It's Protected</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Certification criteria</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Competitors can't replicate our vetting</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Approval/rejection rates</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Reveals selectivity level and pipeline</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Specific evaluation methods</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Manufacturers could game the system</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Supplier terms and agreements</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Protects negotiated pricing and MOQs</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Number of certified manufacturers</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Reveals pipeline and scale</w:t>
            </w:r>
          </w:p>
        </w:tc>
      </w:tr>
    </w:tbl>
    <w:p>
      <w:r>
        <w:br w:type="page"/>
      </w:r>
    </w:p>
    <w:p>
      <w:pPr>
        <w:pStyle w:val="Heading1"/>
        <w:spacing w:before="400" w:after="200"/>
      </w:pPr>
      <w:r>
        <w:rPr>
          <w:rFonts w:ascii="Arial" w:cs="Arial" w:eastAsia="Arial" w:hAnsi="Arial"/>
          <w:b/>
          <w:bCs/>
          <w:color w:val="1B4D3E"/>
          <w:sz w:val="32"/>
          <w:szCs w:val="32"/>
        </w:rPr>
        <w:t xml:space="preserve">5. Voice Attributes</w:t>
      </w:r>
    </w:p>
    <w:p>
      <w:pPr>
        <w:pStyle w:val="Heading2"/>
        <w:spacing w:before="300" w:after="150"/>
      </w:pPr>
      <w:r>
        <w:rPr>
          <w:rFonts w:ascii="Arial" w:cs="Arial" w:eastAsia="Arial" w:hAnsi="Arial"/>
          <w:b/>
          <w:bCs/>
          <w:color w:val="1B4D3E"/>
          <w:sz w:val="26"/>
          <w:szCs w:val="26"/>
        </w:rPr>
        <w:t xml:space="preserve">5.1 The Five Pillars of Alpmera Voice</w:t>
      </w:r>
    </w:p>
    <w:p>
      <w:pPr>
        <w:spacing w:after="150"/>
      </w:pPr>
      <w:r>
        <w:rPr>
          <w:rFonts w:ascii="Arial" w:cs="Arial" w:eastAsia="Arial" w:hAnsi="Arial"/>
          <w:b w:val="false"/>
          <w:bCs w:val="false"/>
          <w:i w:val="false"/>
          <w:iCs w:val="false"/>
          <w:color w:val="2D2D2D"/>
          <w:sz w:val="22"/>
          <w:szCs w:val="22"/>
        </w:rPr>
        <w:t xml:space="preserve">Every piece of Alpmera communication must embody these five attributes. They are not optional guidelines—they are constraints.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r>
              <w:rPr>
                <w:rFonts w:ascii="Arial" w:cs="Arial" w:eastAsia="Arial" w:hAnsi="Arial"/>
                <w:b/>
                <w:bCs/>
                <w:color w:val="FFFFFF"/>
                <w:sz w:val="24"/>
                <w:szCs w:val="24"/>
              </w:rPr>
              <w:t xml:space="preserve">1. PROTECTIVE — Not Promotional</w:t>
            </w:r>
          </w:p>
        </w:tc>
      </w:tr>
      <w:tr>
        <w:tc>
          <w:tcPr>
            <w:tcW w:type="dxa" w:w="9360"/>
            <w:tcBorders>
              <w:top w:val="single" w:color="D4CFC7" w:sz="1"/>
              <w:left w:val="single" w:color="D4CFC7" w:sz="1"/>
              <w:bottom w:val="single" w:color="D4CFC7" w:sz="1"/>
              <w:right w:val="single" w:color="D4CFC7" w:sz="1"/>
            </w:tcBorders>
            <w:tcMar>
              <w:top w:type="dxa" w:w="150"/>
              <w:left w:type="dxa" w:w="200"/>
              <w:bottom w:type="dxa" w:w="150"/>
              <w:right w:type="dxa" w:w="200"/>
            </w:tcMar>
          </w:tcPr>
          <w:p>
            <w:pPr>
              <w:spacing w:after="100"/>
            </w:pPr>
            <w:r>
              <w:rPr>
                <w:rFonts w:ascii="Arial" w:cs="Arial" w:eastAsia="Arial" w:hAnsi="Arial"/>
                <w:color w:val="2D2D2D"/>
                <w:sz w:val="20"/>
                <w:szCs w:val="20"/>
              </w:rPr>
              <w:t xml:space="preserve">We speak like a guardian, not a salesperson. Our first instinct is to inform and protect, not to excite or persuade.</w:t>
            </w:r>
          </w:p>
          <w:p>
            <w:pPr>
              <w:spacing w:after="50"/>
            </w:pPr>
            <w:r>
              <w:rPr>
                <w:rFonts w:ascii="Arial" w:cs="Arial" w:eastAsia="Arial" w:hAnsi="Arial"/>
                <w:i/>
                <w:iCs/>
                <w:color w:val="8B3A3A"/>
                <w:sz w:val="20"/>
                <w:szCs w:val="20"/>
              </w:rPr>
              <w:t xml:space="preserve">Instead of: </w:t>
            </w:r>
            <w:r>
              <w:rPr>
                <w:rFonts w:ascii="Arial" w:cs="Arial" w:eastAsia="Arial" w:hAnsi="Arial"/>
                <w:color w:val="2D2D2D"/>
                <w:sz w:val="20"/>
                <w:szCs w:val="20"/>
              </w:rPr>
              <w:t xml:space="preserve">"Amazing deal on premium cookware!"</w:t>
            </w:r>
          </w:p>
          <w:p>
            <w:r>
              <w:rPr>
                <w:rFonts w:ascii="Arial" w:cs="Arial" w:eastAsia="Arial" w:hAnsi="Arial"/>
                <w:i/>
                <w:iCs/>
                <w:color w:val="3A6B5A"/>
                <w:sz w:val="20"/>
                <w:szCs w:val="20"/>
              </w:rPr>
              <w:t xml:space="preserve">We say: </w:t>
            </w:r>
            <w:r>
              <w:rPr>
                <w:rFonts w:ascii="Arial" w:cs="Arial" w:eastAsia="Arial" w:hAnsi="Arial"/>
                <w:color w:val="2D2D2D"/>
                <w:sz w:val="20"/>
                <w:szCs w:val="20"/>
              </w:rPr>
              <w:t xml:space="preserve">"This campaign offers access to professional-grade cookware. Your funds remain protected until fulfillment."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r>
              <w:rPr>
                <w:rFonts w:ascii="Arial" w:cs="Arial" w:eastAsia="Arial" w:hAnsi="Arial"/>
                <w:b/>
                <w:bCs/>
                <w:color w:val="FFFFFF"/>
                <w:sz w:val="24"/>
                <w:szCs w:val="24"/>
              </w:rPr>
              <w:t xml:space="preserve">2. EXPLICIT — Not Clever</w:t>
            </w:r>
          </w:p>
        </w:tc>
      </w:tr>
      <w:tr>
        <w:tc>
          <w:tcPr>
            <w:tcW w:type="dxa" w:w="9360"/>
            <w:tcBorders>
              <w:top w:val="single" w:color="D4CFC7" w:sz="1"/>
              <w:left w:val="single" w:color="D4CFC7" w:sz="1"/>
              <w:bottom w:val="single" w:color="D4CFC7" w:sz="1"/>
              <w:right w:val="single" w:color="D4CFC7" w:sz="1"/>
            </w:tcBorders>
            <w:tcMar>
              <w:top w:type="dxa" w:w="150"/>
              <w:left w:type="dxa" w:w="200"/>
              <w:bottom w:type="dxa" w:w="150"/>
              <w:right w:type="dxa" w:w="200"/>
            </w:tcMar>
          </w:tcPr>
          <w:p>
            <w:pPr>
              <w:spacing w:after="100"/>
            </w:pPr>
            <w:r>
              <w:rPr>
                <w:rFonts w:ascii="Arial" w:cs="Arial" w:eastAsia="Arial" w:hAnsi="Arial"/>
                <w:color w:val="2D2D2D"/>
                <w:sz w:val="20"/>
                <w:szCs w:val="20"/>
              </w:rPr>
              <w:t xml:space="preserve">Clarity defeats cleverness every time. If a sentence could be misunderstood, rewrite it. No wordplay. No ambiguity. No assumptions.</w:t>
            </w:r>
          </w:p>
          <w:p>
            <w:pPr>
              <w:spacing w:after="50"/>
            </w:pPr>
            <w:r>
              <w:rPr>
                <w:rFonts w:ascii="Arial" w:cs="Arial" w:eastAsia="Arial" w:hAnsi="Arial"/>
                <w:i/>
                <w:iCs/>
                <w:color w:val="8B3A3A"/>
                <w:sz w:val="20"/>
                <w:szCs w:val="20"/>
              </w:rPr>
              <w:t xml:space="preserve">Instead of: </w:t>
            </w:r>
            <w:r>
              <w:rPr>
                <w:rFonts w:ascii="Arial" w:cs="Arial" w:eastAsia="Arial" w:hAnsi="Arial"/>
                <w:color w:val="2D2D2D"/>
                <w:sz w:val="20"/>
                <w:szCs w:val="20"/>
              </w:rPr>
              <w:t xml:space="preserve">"Join the movement!"</w:t>
            </w:r>
          </w:p>
          <w:p>
            <w:r>
              <w:rPr>
                <w:rFonts w:ascii="Arial" w:cs="Arial" w:eastAsia="Arial" w:hAnsi="Arial"/>
                <w:i/>
                <w:iCs/>
                <w:color w:val="3A6B5A"/>
                <w:sz w:val="20"/>
                <w:szCs w:val="20"/>
              </w:rPr>
              <w:t xml:space="preserve">We say: </w:t>
            </w:r>
            <w:r>
              <w:rPr>
                <w:rFonts w:ascii="Arial" w:cs="Arial" w:eastAsia="Arial" w:hAnsi="Arial"/>
                <w:color w:val="2D2D2D"/>
                <w:sz w:val="20"/>
                <w:szCs w:val="20"/>
              </w:rPr>
              <w:t xml:space="preserve">"Join this campaign by committing funds. You can track progress anytime. Full refund if we don't reach our goal."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r>
              <w:rPr>
                <w:rFonts w:ascii="Arial" w:cs="Arial" w:eastAsia="Arial" w:hAnsi="Arial"/>
                <w:b/>
                <w:bCs/>
                <w:color w:val="FFFFFF"/>
                <w:sz w:val="24"/>
                <w:szCs w:val="24"/>
              </w:rPr>
              <w:t xml:space="preserve">3. COLLECTIVE — Not Transactional</w:t>
            </w:r>
          </w:p>
        </w:tc>
      </w:tr>
      <w:tr>
        <w:tc>
          <w:tcPr>
            <w:tcW w:type="dxa" w:w="9360"/>
            <w:tcBorders>
              <w:top w:val="single" w:color="D4CFC7" w:sz="1"/>
              <w:left w:val="single" w:color="D4CFC7" w:sz="1"/>
              <w:bottom w:val="single" w:color="D4CFC7" w:sz="1"/>
              <w:right w:val="single" w:color="D4CFC7" w:sz="1"/>
            </w:tcBorders>
            <w:tcMar>
              <w:top w:type="dxa" w:w="150"/>
              <w:left w:type="dxa" w:w="200"/>
              <w:bottom w:type="dxa" w:w="150"/>
              <w:right w:type="dxa" w:w="200"/>
            </w:tcMar>
          </w:tcPr>
          <w:p>
            <w:pPr>
              <w:spacing w:after="100"/>
            </w:pPr>
            <w:r>
              <w:rPr>
                <w:rFonts w:ascii="Arial" w:cs="Arial" w:eastAsia="Arial" w:hAnsi="Arial"/>
                <w:color w:val="2D2D2D"/>
                <w:sz w:val="20"/>
                <w:szCs w:val="20"/>
              </w:rPr>
              <w:t xml:space="preserve">We emphasize the group achievement, not individual purchase. Participants are part of something, not just buying something.</w:t>
            </w:r>
          </w:p>
          <w:p>
            <w:pPr>
              <w:spacing w:after="50"/>
            </w:pPr>
            <w:r>
              <w:rPr>
                <w:rFonts w:ascii="Arial" w:cs="Arial" w:eastAsia="Arial" w:hAnsi="Arial"/>
                <w:i/>
                <w:iCs/>
                <w:color w:val="8B3A3A"/>
                <w:sz w:val="20"/>
                <w:szCs w:val="20"/>
              </w:rPr>
              <w:t xml:space="preserve">Instead of: </w:t>
            </w:r>
            <w:r>
              <w:rPr>
                <w:rFonts w:ascii="Arial" w:cs="Arial" w:eastAsia="Arial" w:hAnsi="Arial"/>
                <w:color w:val="2D2D2D"/>
                <w:sz w:val="20"/>
                <w:szCs w:val="20"/>
              </w:rPr>
              <w:t xml:space="preserve">"Complete your purchase"</w:t>
            </w:r>
          </w:p>
          <w:p>
            <w:r>
              <w:rPr>
                <w:rFonts w:ascii="Arial" w:cs="Arial" w:eastAsia="Arial" w:hAnsi="Arial"/>
                <w:i/>
                <w:iCs/>
                <w:color w:val="3A6B5A"/>
                <w:sz w:val="20"/>
                <w:szCs w:val="20"/>
              </w:rPr>
              <w:t xml:space="preserve">We say: </w:t>
            </w:r>
            <w:r>
              <w:rPr>
                <w:rFonts w:ascii="Arial" w:cs="Arial" w:eastAsia="Arial" w:hAnsi="Arial"/>
                <w:color w:val="2D2D2D"/>
                <w:sz w:val="20"/>
                <w:szCs w:val="20"/>
              </w:rPr>
              <w:t xml:space="preserve">"Confirm your commitment to join this campaign"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r>
              <w:rPr>
                <w:rFonts w:ascii="Arial" w:cs="Arial" w:eastAsia="Arial" w:hAnsi="Arial"/>
                <w:b/>
                <w:bCs/>
                <w:color w:val="FFFFFF"/>
                <w:sz w:val="24"/>
                <w:szCs w:val="24"/>
              </w:rPr>
              <w:t xml:space="preserve">4. ACCOUNTABLE — Not Evasive</w:t>
            </w:r>
          </w:p>
        </w:tc>
      </w:tr>
      <w:tr>
        <w:tc>
          <w:tcPr>
            <w:tcW w:type="dxa" w:w="9360"/>
            <w:tcBorders>
              <w:top w:val="single" w:color="D4CFC7" w:sz="1"/>
              <w:left w:val="single" w:color="D4CFC7" w:sz="1"/>
              <w:bottom w:val="single" w:color="D4CFC7" w:sz="1"/>
              <w:right w:val="single" w:color="D4CFC7" w:sz="1"/>
            </w:tcBorders>
            <w:tcMar>
              <w:top w:type="dxa" w:w="150"/>
              <w:left w:type="dxa" w:w="200"/>
              <w:bottom w:type="dxa" w:w="150"/>
              <w:right w:type="dxa" w:w="200"/>
            </w:tcMar>
          </w:tcPr>
          <w:p>
            <w:pPr>
              <w:spacing w:after="100"/>
            </w:pPr>
            <w:r>
              <w:rPr>
                <w:rFonts w:ascii="Arial" w:cs="Arial" w:eastAsia="Arial" w:hAnsi="Arial"/>
                <w:color w:val="2D2D2D"/>
                <w:sz w:val="20"/>
                <w:szCs w:val="20"/>
              </w:rPr>
              <w:t xml:space="preserve">We own outcomes—good and bad. When things go wrong, we say so directly. No passive voice. No blame-shifting. No euphemisms.</w:t>
            </w:r>
          </w:p>
          <w:p>
            <w:pPr>
              <w:spacing w:after="50"/>
            </w:pPr>
            <w:r>
              <w:rPr>
                <w:rFonts w:ascii="Arial" w:cs="Arial" w:eastAsia="Arial" w:hAnsi="Arial"/>
                <w:i/>
                <w:iCs/>
                <w:color w:val="8B3A3A"/>
                <w:sz w:val="20"/>
                <w:szCs w:val="20"/>
              </w:rPr>
              <w:t xml:space="preserve">Instead of: </w:t>
            </w:r>
            <w:r>
              <w:rPr>
                <w:rFonts w:ascii="Arial" w:cs="Arial" w:eastAsia="Arial" w:hAnsi="Arial"/>
                <w:color w:val="2D2D2D"/>
                <w:sz w:val="20"/>
                <w:szCs w:val="20"/>
              </w:rPr>
              <w:t xml:space="preserve">"Unfortunately, circumstances prevented..."</w:t>
            </w:r>
          </w:p>
          <w:p>
            <w:r>
              <w:rPr>
                <w:rFonts w:ascii="Arial" w:cs="Arial" w:eastAsia="Arial" w:hAnsi="Arial"/>
                <w:i/>
                <w:iCs/>
                <w:color w:val="3A6B5A"/>
                <w:sz w:val="20"/>
                <w:szCs w:val="20"/>
              </w:rPr>
              <w:t xml:space="preserve">We say: </w:t>
            </w:r>
            <w:r>
              <w:rPr>
                <w:rFonts w:ascii="Arial" w:cs="Arial" w:eastAsia="Arial" w:hAnsi="Arial"/>
                <w:color w:val="2D2D2D"/>
                <w:sz w:val="20"/>
                <w:szCs w:val="20"/>
              </w:rPr>
              <w:t xml:space="preserve">"This campaign did not reach its goal. We are processing your full refund today. Here's exactly what happened."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r>
              <w:rPr>
                <w:rFonts w:ascii="Arial" w:cs="Arial" w:eastAsia="Arial" w:hAnsi="Arial"/>
                <w:b/>
                <w:bCs/>
                <w:color w:val="FFFFFF"/>
                <w:sz w:val="24"/>
                <w:szCs w:val="24"/>
              </w:rPr>
              <w:t xml:space="preserve">5. PATIENT — Not Urgent</w:t>
            </w:r>
          </w:p>
        </w:tc>
      </w:tr>
      <w:tr>
        <w:tc>
          <w:tcPr>
            <w:tcW w:type="dxa" w:w="9360"/>
            <w:tcBorders>
              <w:top w:val="single" w:color="D4CFC7" w:sz="1"/>
              <w:left w:val="single" w:color="D4CFC7" w:sz="1"/>
              <w:bottom w:val="single" w:color="D4CFC7" w:sz="1"/>
              <w:right w:val="single" w:color="D4CFC7" w:sz="1"/>
            </w:tcBorders>
            <w:tcMar>
              <w:top w:type="dxa" w:w="150"/>
              <w:left w:type="dxa" w:w="200"/>
              <w:bottom w:type="dxa" w:w="150"/>
              <w:right w:type="dxa" w:w="200"/>
            </w:tcMar>
          </w:tcPr>
          <w:p>
            <w:pPr>
              <w:spacing w:after="100"/>
            </w:pPr>
            <w:r>
              <w:rPr>
                <w:rFonts w:ascii="Arial" w:cs="Arial" w:eastAsia="Arial" w:hAnsi="Arial"/>
                <w:color w:val="2D2D2D"/>
                <w:sz w:val="20"/>
                <w:szCs w:val="20"/>
              </w:rPr>
              <w:t xml:space="preserve">We never manufacture urgency. Deadlines are real, not psychological. We give people time to think, not pressure to act.</w:t>
            </w:r>
          </w:p>
          <w:p>
            <w:pPr>
              <w:spacing w:after="50"/>
            </w:pPr>
            <w:r>
              <w:rPr>
                <w:rFonts w:ascii="Arial" w:cs="Arial" w:eastAsia="Arial" w:hAnsi="Arial"/>
                <w:i/>
                <w:iCs/>
                <w:color w:val="8B3A3A"/>
                <w:sz w:val="20"/>
                <w:szCs w:val="20"/>
              </w:rPr>
              <w:t xml:space="preserve">Instead of: </w:t>
            </w:r>
            <w:r>
              <w:rPr>
                <w:rFonts w:ascii="Arial" w:cs="Arial" w:eastAsia="Arial" w:hAnsi="Arial"/>
                <w:color w:val="2D2D2D"/>
                <w:sz w:val="20"/>
                <w:szCs w:val="20"/>
              </w:rPr>
              <w:t xml:space="preserve">"Only 3 spots left! Act now!"</w:t>
            </w:r>
          </w:p>
          <w:p>
            <w:r>
              <w:rPr>
                <w:rFonts w:ascii="Arial" w:cs="Arial" w:eastAsia="Arial" w:hAnsi="Arial"/>
                <w:i/>
                <w:iCs/>
                <w:color w:val="3A6B5A"/>
                <w:sz w:val="20"/>
                <w:szCs w:val="20"/>
              </w:rPr>
              <w:t xml:space="preserve">We say: </w:t>
            </w:r>
            <w:r>
              <w:rPr>
                <w:rFonts w:ascii="Arial" w:cs="Arial" w:eastAsia="Arial" w:hAnsi="Arial"/>
                <w:color w:val="2D2D2D"/>
                <w:sz w:val="20"/>
                <w:szCs w:val="20"/>
              </w:rPr>
              <w:t xml:space="preserve">"This campaign closes on March 15th. Status: Almost There (approaching 100%)"</w:t>
            </w:r>
          </w:p>
        </w:tc>
      </w:tr>
    </w:tbl>
    <w:p>
      <w:r>
        <w:br w:type="page"/>
      </w:r>
    </w:p>
    <w:p>
      <w:pPr>
        <w:pStyle w:val="Heading1"/>
        <w:spacing w:before="400" w:after="200"/>
      </w:pPr>
      <w:r>
        <w:rPr>
          <w:rFonts w:ascii="Arial" w:cs="Arial" w:eastAsia="Arial" w:hAnsi="Arial"/>
          <w:b/>
          <w:bCs/>
          <w:color w:val="1B4D3E"/>
          <w:sz w:val="32"/>
          <w:szCs w:val="32"/>
        </w:rPr>
        <w:t xml:space="preserve">6. Language Doctrine</w:t>
      </w:r>
    </w:p>
    <w:p>
      <w:pPr>
        <w:pStyle w:val="Heading2"/>
        <w:spacing w:before="300" w:after="150"/>
      </w:pPr>
      <w:r>
        <w:rPr>
          <w:rFonts w:ascii="Arial" w:cs="Arial" w:eastAsia="Arial" w:hAnsi="Arial"/>
          <w:b/>
          <w:bCs/>
          <w:color w:val="1B4D3E"/>
          <w:sz w:val="26"/>
          <w:szCs w:val="26"/>
        </w:rPr>
        <w:t xml:space="preserve">6.1 Forbidden Terms</w:t>
      </w:r>
    </w:p>
    <w:p>
      <w:pPr>
        <w:spacing w:after="150"/>
      </w:pPr>
      <w:r>
        <w:rPr>
          <w:rFonts w:ascii="Arial" w:cs="Arial" w:eastAsia="Arial" w:hAnsi="Arial"/>
          <w:b w:val="false"/>
          <w:bCs w:val="false"/>
          <w:i w:val="false"/>
          <w:iCs w:val="false"/>
          <w:color w:val="2D2D2D"/>
          <w:sz w:val="22"/>
          <w:szCs w:val="22"/>
        </w:rPr>
        <w:t xml:space="preserve">These words are never used in any Alpmera communication. They belong to retail and B2B contexts that conflict with our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Forbidden</w:t>
            </w:r>
          </w:p>
        </w:tc>
        <w:tc>
          <w:tcPr>
            <w:tcW w:type="dxa" w:w="312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Forbidden</w:t>
            </w:r>
          </w:p>
        </w:tc>
        <w:tc>
          <w:tcPr>
            <w:tcW w:type="dxa" w:w="312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Forbidden</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buy</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order</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purchase</w:t>
            </w:r>
          </w:p>
        </w:tc>
      </w:tr>
      <w:tr>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checkout</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deal</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discount</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customer</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seller</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marketplace</w:t>
            </w:r>
          </w:p>
        </w:tc>
      </w:tr>
      <w:tr>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wholesale</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procurement</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cart</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shop</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store</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limited time</w:t>
            </w:r>
          </w:p>
        </w:tc>
      </w:tr>
      <w:tr>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act now</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don't miss</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exclusive offer</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X of Y participants</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X more needed</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target amount</w:t>
            </w:r>
          </w:p>
        </w:tc>
      </w:tr>
    </w:tbl>
    <w:p>
      <w:pPr>
        <w:spacing w:after="300"/>
      </w:pPr>
    </w:p>
    <w:p>
      <w:pPr>
        <w:pStyle w:val="Heading2"/>
        <w:spacing w:before="300" w:after="150"/>
      </w:pPr>
      <w:r>
        <w:rPr>
          <w:rFonts w:ascii="Arial" w:cs="Arial" w:eastAsia="Arial" w:hAnsi="Arial"/>
          <w:b/>
          <w:bCs/>
          <w:color w:val="1B4D3E"/>
          <w:sz w:val="26"/>
          <w:szCs w:val="26"/>
        </w:rPr>
        <w:t xml:space="preserve">6.2 Required Terminology</w:t>
      </w:r>
    </w:p>
    <w:p>
      <w:pPr>
        <w:spacing w:after="150"/>
      </w:pPr>
      <w:r>
        <w:rPr>
          <w:rFonts w:ascii="Arial" w:cs="Arial" w:eastAsia="Arial" w:hAnsi="Arial"/>
          <w:b w:val="false"/>
          <w:bCs w:val="false"/>
          <w:i w:val="false"/>
          <w:iCs w:val="false"/>
          <w:color w:val="2D2D2D"/>
          <w:sz w:val="22"/>
          <w:szCs w:val="22"/>
        </w:rPr>
        <w:t xml:space="preserve">These are the canonical terms for Alpmera. Use them consistently.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Concept</w:t>
            </w:r>
          </w:p>
        </w:tc>
        <w:tc>
          <w:tcPr>
            <w:tcW w:type="dxa" w:w="30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Required Term</w:t>
            </w:r>
          </w:p>
        </w:tc>
        <w:tc>
          <w:tcPr>
            <w:tcW w:type="dxa" w:w="33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Never Say</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Supplier trust signal</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Alpmera Certified</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verified, approved, trusted seller</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The offering</w:t>
            </w:r>
          </w:p>
        </w:tc>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campaign</w:t>
            </w:r>
          </w:p>
        </w:tc>
        <w:tc>
          <w:tcPr>
            <w:tcW w:type="dxa" w:w="3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deal, offer, product</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Taking action</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join campaign</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buy, order, purchase</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Paying</w:t>
            </w:r>
          </w:p>
        </w:tc>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commit funds</w:t>
            </w:r>
          </w:p>
        </w:tc>
        <w:tc>
          <w:tcPr>
            <w:tcW w:type="dxa" w:w="3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pay, checkout, submit payment</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The person</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participant</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customer, buyer, user</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Money protection</w:t>
            </w:r>
          </w:p>
        </w:tc>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escrow-style protection</w:t>
            </w:r>
          </w:p>
        </w:tc>
        <w:tc>
          <w:tcPr>
            <w:tcW w:type="dxa" w:w="3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secure payment, safe checkout</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progress</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stage + milestone %</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X of Y, X% complete, X needed</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succeeds</w:t>
            </w:r>
          </w:p>
        </w:tc>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campaign completion</w:t>
            </w:r>
          </w:p>
        </w:tc>
        <w:tc>
          <w:tcPr>
            <w:tcW w:type="dxa" w:w="3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order confirmed, purchase complete</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Delivery</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fulfillment</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shipping, delivery</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fails</w:t>
            </w:r>
          </w:p>
        </w:tc>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campaign did not reach goal</w:t>
            </w:r>
          </w:p>
        </w:tc>
        <w:tc>
          <w:tcPr>
            <w:tcW w:type="dxa" w:w="3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cancelled, unsuccessful</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Money return</w:t>
            </w:r>
          </w:p>
        </w:tc>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full refund</w:t>
            </w:r>
          </w:p>
        </w:tc>
        <w:tc>
          <w:tcPr>
            <w:tcW w:type="dxa" w:w="3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money back, reimbursement</w:t>
            </w:r>
          </w:p>
        </w:tc>
      </w:tr>
    </w:tbl>
    <w:p>
      <w:r>
        <w:br w:type="page"/>
      </w:r>
    </w:p>
    <w:p>
      <w:pPr>
        <w:pStyle w:val="Heading1"/>
        <w:spacing w:before="400" w:after="200"/>
      </w:pPr>
      <w:r>
        <w:rPr>
          <w:rFonts w:ascii="Arial" w:cs="Arial" w:eastAsia="Arial" w:hAnsi="Arial"/>
          <w:b/>
          <w:bCs/>
          <w:color w:val="1B4D3E"/>
          <w:sz w:val="32"/>
          <w:szCs w:val="32"/>
        </w:rPr>
        <w:t xml:space="preserve">7. Tone by Context</w:t>
      </w:r>
    </w:p>
    <w:p>
      <w:pPr>
        <w:pStyle w:val="Heading2"/>
        <w:spacing w:before="300" w:after="150"/>
      </w:pPr>
      <w:r>
        <w:rPr>
          <w:rFonts w:ascii="Arial" w:cs="Arial" w:eastAsia="Arial" w:hAnsi="Arial"/>
          <w:b/>
          <w:bCs/>
          <w:color w:val="1B4D3E"/>
          <w:sz w:val="26"/>
          <w:szCs w:val="26"/>
        </w:rPr>
        <w:t xml:space="preserve">7.1 Campaign Pages</w:t>
      </w:r>
    </w:p>
    <w:p>
      <w:pPr>
        <w:spacing w:after="150"/>
      </w:pPr>
      <w:r>
        <w:rPr>
          <w:rFonts w:ascii="Arial" w:cs="Arial" w:eastAsia="Arial" w:hAnsi="Arial"/>
          <w:b w:val="false"/>
          <w:bCs w:val="false"/>
          <w:i w:val="false"/>
          <w:iCs w:val="false"/>
          <w:color w:val="2D2D2D"/>
          <w:sz w:val="22"/>
          <w:szCs w:val="22"/>
        </w:rPr>
        <w:t xml:space="preserve">Tone: Informative, protective, factual</w:t>
      </w:r>
    </w:p>
    <w:p>
      <w:pPr>
        <w:spacing w:after="150"/>
      </w:pPr>
      <w:r>
        <w:rPr>
          <w:rFonts w:ascii="Arial" w:cs="Arial" w:eastAsia="Arial" w:hAnsi="Arial"/>
          <w:b w:val="false"/>
          <w:bCs w:val="false"/>
          <w:i w:val="false"/>
          <w:iCs w:val="false"/>
          <w:color w:val="2D2D2D"/>
          <w:sz w:val="22"/>
          <w:szCs w:val="22"/>
        </w:rPr>
        <w:t xml:space="preserve">Goal: Help participants understand exactly what they're joining and what protections exist.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150"/>
              <w:left w:type="dxa" w:w="200"/>
              <w:bottom w:type="dxa" w:w="150"/>
              <w:right w:type="dxa" w:w="200"/>
            </w:tcMar>
          </w:tcPr>
          <w:p>
            <w:pPr>
              <w:spacing w:after="100"/>
            </w:pPr>
            <w:r>
              <w:rPr>
                <w:rFonts w:ascii="Arial" w:cs="Arial" w:eastAsia="Arial" w:hAnsi="Arial"/>
                <w:b/>
                <w:bCs/>
                <w:color w:val="1B4D3E"/>
                <w:sz w:val="18"/>
                <w:szCs w:val="18"/>
              </w:rPr>
              <w:t xml:space="preserve">EXAMPLE: Campaign Hero Copy</w:t>
            </w:r>
          </w:p>
          <w:p>
            <w:pPr>
              <w:spacing w:after="60"/>
            </w:pPr>
            <w:r>
              <w:rPr>
                <w:rFonts w:ascii="Arial" w:cs="Arial" w:eastAsia="Arial" w:hAnsi="Arial"/>
                <w:b/>
                <w:bCs/>
                <w:color w:val="3A6B5A"/>
                <w:sz w:val="18"/>
                <w:szCs w:val="18"/>
              </w:rPr>
              <w:t xml:space="preserve">✓ Alpmera Certified Manufacturer</w:t>
            </w:r>
          </w:p>
          <w:p>
            <w:pPr>
              <w:spacing w:after="80"/>
            </w:pPr>
            <w:r>
              <w:rPr>
                <w:rFonts w:ascii="Libre Baskerville" w:cs="Libre Baskerville" w:eastAsia="Libre Baskerville" w:hAnsi="Libre Baskerville"/>
                <w:b/>
                <w:bCs/>
                <w:color w:val="2D2D2D"/>
                <w:sz w:val="28"/>
                <w:szCs w:val="28"/>
              </w:rPr>
              <w:t xml:space="preserve">Professional-Grade Dutch Oven Campaign</w:t>
            </w:r>
          </w:p>
          <w:p>
            <w:pPr>
              <w:spacing w:after="80"/>
            </w:pPr>
            <w:r>
              <w:rPr>
                <w:rFonts w:ascii="Arial" w:cs="Arial" w:eastAsia="Arial" w:hAnsi="Arial"/>
                <w:color w:val="2D2D2D"/>
                <w:sz w:val="20"/>
                <w:szCs w:val="20"/>
              </w:rPr>
              <w:t xml:space="preserve">Status: Almost There (approaching 100%) · Campaign closes March 15, 2025</w:t>
            </w:r>
          </w:p>
          <w:p>
            <w:r>
              <w:rPr>
                <w:rFonts w:ascii="Arial" w:cs="Arial" w:eastAsia="Arial" w:hAnsi="Arial"/>
                <w:i/>
                <w:iCs/>
                <w:color w:val="5A5A5A"/>
                <w:sz w:val="18"/>
                <w:szCs w:val="18"/>
              </w:rPr>
              <w:t xml:space="preserve">Your funds are held in escrow-style protection until this campaign reaches its goal and fulfillment begins. If we don't reach our goal, you receive a full refund.</w:t>
            </w:r>
          </w:p>
        </w:tc>
      </w:tr>
    </w:tbl>
    <w:p>
      <w:pPr>
        <w:spacing w:after="300"/>
      </w:pPr>
    </w:p>
    <w:p>
      <w:pPr>
        <w:pStyle w:val="Heading2"/>
        <w:spacing w:before="300" w:after="150"/>
      </w:pPr>
      <w:r>
        <w:rPr>
          <w:rFonts w:ascii="Arial" w:cs="Arial" w:eastAsia="Arial" w:hAnsi="Arial"/>
          <w:b/>
          <w:bCs/>
          <w:color w:val="1B4D3E"/>
          <w:sz w:val="26"/>
          <w:szCs w:val="26"/>
        </w:rPr>
        <w:t xml:space="preserve">7.2 Commitment Confirmation</w:t>
      </w:r>
    </w:p>
    <w:p>
      <w:pPr>
        <w:spacing w:after="150"/>
      </w:pPr>
      <w:r>
        <w:rPr>
          <w:rFonts w:ascii="Arial" w:cs="Arial" w:eastAsia="Arial" w:hAnsi="Arial"/>
          <w:b w:val="false"/>
          <w:bCs w:val="false"/>
          <w:i w:val="false"/>
          <w:iCs w:val="false"/>
          <w:color w:val="2D2D2D"/>
          <w:sz w:val="22"/>
          <w:szCs w:val="22"/>
        </w:rPr>
        <w:t xml:space="preserve">Tone: Warm, reassuring, clear about next steps</w:t>
      </w:r>
    </w:p>
    <w:p>
      <w:pPr>
        <w:spacing w:after="150"/>
      </w:pPr>
      <w:r>
        <w:rPr>
          <w:rFonts w:ascii="Arial" w:cs="Arial" w:eastAsia="Arial" w:hAnsi="Arial"/>
          <w:b w:val="false"/>
          <w:bCs w:val="false"/>
          <w:i w:val="false"/>
          <w:iCs w:val="false"/>
          <w:color w:val="2D2D2D"/>
          <w:sz w:val="22"/>
          <w:szCs w:val="22"/>
        </w:rPr>
        <w:t xml:space="preserve">Goal: Make participants feel secure and informed about what happens now.</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150"/>
              <w:left w:type="dxa" w:w="200"/>
              <w:bottom w:type="dxa" w:w="150"/>
              <w:right w:type="dxa" w:w="200"/>
            </w:tcMar>
          </w:tcPr>
          <w:p>
            <w:pPr>
              <w:spacing w:after="100"/>
            </w:pPr>
            <w:r>
              <w:rPr>
                <w:rFonts w:ascii="Arial" w:cs="Arial" w:eastAsia="Arial" w:hAnsi="Arial"/>
                <w:b/>
                <w:bCs/>
                <w:color w:val="1B4D3E"/>
                <w:sz w:val="18"/>
                <w:szCs w:val="18"/>
              </w:rPr>
              <w:t xml:space="preserve">EXAMPLE: Confirmation Email</w:t>
            </w:r>
          </w:p>
          <w:p>
            <w:pPr>
              <w:spacing w:after="80"/>
            </w:pPr>
            <w:r>
              <w:rPr>
                <w:rFonts w:ascii="Arial" w:cs="Arial" w:eastAsia="Arial" w:hAnsi="Arial"/>
                <w:b/>
                <w:bCs/>
                <w:color w:val="2D2D2D"/>
                <w:sz w:val="24"/>
                <w:szCs w:val="24"/>
              </w:rPr>
              <w:t xml:space="preserve">You've joined the campaign.</w:t>
            </w:r>
          </w:p>
          <w:p>
            <w:pPr>
              <w:spacing w:after="80"/>
            </w:pPr>
            <w:r>
              <w:rPr>
                <w:rFonts w:ascii="Arial" w:cs="Arial" w:eastAsia="Arial" w:hAnsi="Arial"/>
                <w:color w:val="2D2D2D"/>
                <w:sz w:val="20"/>
                <w:szCs w:val="20"/>
              </w:rPr>
              <w:t xml:space="preserve">Your commitment of $185.00 is now held in escrow-style protection.</w:t>
            </w:r>
          </w:p>
          <w:p>
            <w:pPr>
              <w:spacing w:after="80"/>
            </w:pPr>
            <w:r>
              <w:rPr>
                <w:rFonts w:ascii="Arial" w:cs="Arial" w:eastAsia="Arial" w:hAnsi="Arial"/>
                <w:color w:val="2D2D2D"/>
                <w:sz w:val="20"/>
                <w:szCs w:val="20"/>
              </w:rPr>
              <w:t xml:space="preserve">Current status: Building (approaching 50%)</w:t>
            </w:r>
          </w:p>
          <w:p>
            <w:pPr>
              <w:spacing w:after="80"/>
            </w:pPr>
            <w:r>
              <w:rPr>
                <w:rFonts w:ascii="Arial" w:cs="Arial" w:eastAsia="Arial" w:hAnsi="Arial"/>
                <w:b/>
                <w:bCs/>
                <w:color w:val="2D2D2D"/>
                <w:sz w:val="20"/>
                <w:szCs w:val="20"/>
              </w:rPr>
              <w:t xml:space="preserve">What happens next:</w:t>
            </w:r>
          </w:p>
          <w:p>
            <w:pPr>
              <w:spacing w:after="50"/>
            </w:pPr>
            <w:r>
              <w:rPr>
                <w:rFonts w:ascii="Arial" w:cs="Arial" w:eastAsia="Arial" w:hAnsi="Arial"/>
                <w:color w:val="2D2D2D"/>
                <w:sz w:val="20"/>
                <w:szCs w:val="20"/>
              </w:rPr>
              <w:t xml:space="preserve">• Campaign closes March 15th</w:t>
            </w:r>
          </w:p>
          <w:p>
            <w:pPr>
              <w:spacing w:after="50"/>
            </w:pPr>
            <w:r>
              <w:rPr>
                <w:rFonts w:ascii="Arial" w:cs="Arial" w:eastAsia="Arial" w:hAnsi="Arial"/>
                <w:color w:val="2D2D2D"/>
                <w:sz w:val="20"/>
                <w:szCs w:val="20"/>
              </w:rPr>
              <w:t xml:space="preserve">• If successful: We procure and fulfill within 4-6 weeks</w:t>
            </w:r>
          </w:p>
          <w:p>
            <w:r>
              <w:rPr>
                <w:rFonts w:ascii="Arial" w:cs="Arial" w:eastAsia="Arial" w:hAnsi="Arial"/>
                <w:color w:val="2D2D2D"/>
                <w:sz w:val="20"/>
                <w:szCs w:val="20"/>
              </w:rPr>
              <w:t xml:space="preserve">• If unsuccessful: Full refund within 5 business days</w:t>
            </w:r>
          </w:p>
        </w:tc>
      </w:tr>
    </w:tbl>
    <w:p>
      <w:pPr>
        <w:spacing w:after="300"/>
      </w:pPr>
    </w:p>
    <w:p>
      <w:pPr>
        <w:pStyle w:val="Heading2"/>
        <w:spacing w:before="300" w:after="150"/>
      </w:pPr>
      <w:r>
        <w:rPr>
          <w:rFonts w:ascii="Arial" w:cs="Arial" w:eastAsia="Arial" w:hAnsi="Arial"/>
          <w:b/>
          <w:bCs/>
          <w:color w:val="1B4D3E"/>
          <w:sz w:val="26"/>
          <w:szCs w:val="26"/>
        </w:rPr>
        <w:t xml:space="preserve">7.3 Campaign Failure</w:t>
      </w:r>
    </w:p>
    <w:p>
      <w:pPr>
        <w:spacing w:after="150"/>
      </w:pPr>
      <w:r>
        <w:rPr>
          <w:rFonts w:ascii="Arial" w:cs="Arial" w:eastAsia="Arial" w:hAnsi="Arial"/>
          <w:b w:val="false"/>
          <w:bCs w:val="false"/>
          <w:i w:val="false"/>
          <w:iCs w:val="false"/>
          <w:color w:val="2D2D2D"/>
          <w:sz w:val="22"/>
          <w:szCs w:val="22"/>
        </w:rPr>
        <w:t xml:space="preserve">Tone: Direct, accountable, action-oriented</w:t>
      </w:r>
    </w:p>
    <w:p>
      <w:pPr>
        <w:spacing w:after="150"/>
      </w:pPr>
      <w:r>
        <w:rPr>
          <w:rFonts w:ascii="Arial" w:cs="Arial" w:eastAsia="Arial" w:hAnsi="Arial"/>
          <w:b w:val="false"/>
          <w:bCs w:val="false"/>
          <w:i w:val="false"/>
          <w:iCs w:val="false"/>
          <w:color w:val="2D2D2D"/>
          <w:sz w:val="22"/>
          <w:szCs w:val="22"/>
        </w:rPr>
        <w:t xml:space="preserve">Goal: Own the outcome, explain clearly, process refund immediately.</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150"/>
              <w:left w:type="dxa" w:w="200"/>
              <w:bottom w:type="dxa" w:w="150"/>
              <w:right w:type="dxa" w:w="200"/>
            </w:tcMar>
          </w:tcPr>
          <w:p>
            <w:pPr>
              <w:spacing w:after="100"/>
            </w:pPr>
            <w:r>
              <w:rPr>
                <w:rFonts w:ascii="Arial" w:cs="Arial" w:eastAsia="Arial" w:hAnsi="Arial"/>
                <w:b/>
                <w:bCs/>
                <w:color w:val="1B4D3E"/>
                <w:sz w:val="18"/>
                <w:szCs w:val="18"/>
              </w:rPr>
              <w:t xml:space="preserve">EXAMPLE: Campaign Failure Email</w:t>
            </w:r>
          </w:p>
          <w:p>
            <w:pPr>
              <w:spacing w:after="80"/>
            </w:pPr>
            <w:r>
              <w:rPr>
                <w:rFonts w:ascii="Arial" w:cs="Arial" w:eastAsia="Arial" w:hAnsi="Arial"/>
                <w:b/>
                <w:bCs/>
                <w:color w:val="8B3A3A"/>
                <w:sz w:val="24"/>
                <w:szCs w:val="24"/>
              </w:rPr>
              <w:t xml:space="preserve">This campaign did not reach its goal.</w:t>
            </w:r>
          </w:p>
          <w:p>
            <w:pPr>
              <w:spacing w:after="80"/>
            </w:pPr>
            <w:r>
              <w:rPr>
                <w:rFonts w:ascii="Arial" w:cs="Arial" w:eastAsia="Arial" w:hAnsi="Arial"/>
                <w:color w:val="2D2D2D"/>
                <w:sz w:val="20"/>
                <w:szCs w:val="20"/>
              </w:rPr>
              <w:t xml:space="preserve">The campaign closed at Gaining Momentum (75% reached). We needed to reach Goal Reached to proceed with fulfillment.</w:t>
            </w:r>
          </w:p>
          <w:p>
            <w:pPr>
              <w:spacing w:after="80"/>
            </w:pPr>
            <w:r>
              <w:rPr>
                <w:rFonts w:ascii="Arial" w:cs="Arial" w:eastAsia="Arial" w:hAnsi="Arial"/>
                <w:color w:val="2D2D2D"/>
                <w:sz w:val="20"/>
                <w:szCs w:val="20"/>
              </w:rPr>
              <w:t xml:space="preserve">Your full refund of $185.00 is being processed now. You'll see it in your account within 5 business days.</w:t>
            </w:r>
          </w:p>
          <w:p>
            <w:r>
              <w:rPr>
                <w:rFonts w:ascii="Arial" w:cs="Arial" w:eastAsia="Arial" w:hAnsi="Arial"/>
                <w:i/>
                <w:iCs/>
                <w:color w:val="5A5A5A"/>
                <w:sz w:val="18"/>
                <w:szCs w:val="18"/>
              </w:rPr>
              <w:t xml:space="preserve">Thank you for being part of this campaign. We'll let you know if we run a similar one in the future.</w:t>
            </w:r>
          </w:p>
        </w:tc>
      </w:tr>
    </w:tbl>
    <w:p>
      <w:r>
        <w:br w:type="page"/>
      </w:r>
    </w:p>
    <w:p>
      <w:pPr>
        <w:pStyle w:val="Heading1"/>
        <w:spacing w:before="400" w:after="200"/>
      </w:pPr>
      <w:r>
        <w:rPr>
          <w:rFonts w:ascii="Arial" w:cs="Arial" w:eastAsia="Arial" w:hAnsi="Arial"/>
          <w:b/>
          <w:bCs/>
          <w:color w:val="1B4D3E"/>
          <w:sz w:val="32"/>
          <w:szCs w:val="32"/>
        </w:rPr>
        <w:t xml:space="preserve">8. UI Microcopy Reference</w:t>
      </w:r>
    </w:p>
    <w:p>
      <w:pPr>
        <w:pStyle w:val="Heading2"/>
        <w:spacing w:before="300" w:after="150"/>
      </w:pPr>
      <w:r>
        <w:rPr>
          <w:rFonts w:ascii="Arial" w:cs="Arial" w:eastAsia="Arial" w:hAnsi="Arial"/>
          <w:b/>
          <w:bCs/>
          <w:color w:val="1B4D3E"/>
          <w:sz w:val="26"/>
          <w:szCs w:val="26"/>
        </w:rPr>
        <w:t xml:space="preserve">8.1 Buttons &amp; CTAs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Context</w:t>
            </w:r>
          </w:p>
        </w:tc>
        <w:tc>
          <w:tcPr>
            <w:tcW w:type="dxa" w:w="312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Use This</w:t>
            </w:r>
          </w:p>
        </w:tc>
        <w:tc>
          <w:tcPr>
            <w:tcW w:type="dxa" w:w="312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Never This</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Primary CTA</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3A6B5A"/>
                <w:sz w:val="20"/>
                <w:szCs w:val="20"/>
              </w:rPr>
              <w:t xml:space="preserve">Join Campaign</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Buy Now</w:t>
            </w:r>
          </w:p>
        </w:tc>
      </w:tr>
      <w:tr>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Commit funds</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3A6B5A"/>
                <w:sz w:val="20"/>
                <w:szCs w:val="20"/>
              </w:rPr>
              <w:t xml:space="preserve">Commit $185.00</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Pay Now</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View campaign</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3A6B5A"/>
                <w:sz w:val="20"/>
                <w:szCs w:val="20"/>
              </w:rPr>
              <w:t xml:space="preserve">View Campaign</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See Deal</w:t>
            </w:r>
          </w:p>
        </w:tc>
      </w:tr>
      <w:tr>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Progress check</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3A6B5A"/>
                <w:sz w:val="20"/>
                <w:szCs w:val="20"/>
              </w:rPr>
              <w:t xml:space="preserve">Track Progress</w:t>
            </w:r>
          </w:p>
        </w:tc>
        <w:tc>
          <w:tcPr>
            <w:tcW w:type="dxa" w:w="312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Check Order Status</w:t>
            </w:r>
          </w:p>
        </w:tc>
      </w:tr>
      <w:tr>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Cancel participation</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3A6B5A"/>
                <w:sz w:val="20"/>
                <w:szCs w:val="20"/>
              </w:rPr>
              <w:t xml:space="preserve">Withdraw from Campaign</w:t>
            </w:r>
          </w:p>
        </w:tc>
        <w:tc>
          <w:tcPr>
            <w:tcW w:type="dxa" w:w="312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8B3A3A"/>
                <w:sz w:val="20"/>
                <w:szCs w:val="20"/>
              </w:rPr>
              <w:t xml:space="preserve">Cancel Order</w:t>
            </w:r>
          </w:p>
        </w:tc>
      </w:tr>
    </w:tbl>
    <w:p>
      <w:pPr>
        <w:spacing w:after="300"/>
      </w:pPr>
    </w:p>
    <w:p>
      <w:pPr>
        <w:pStyle w:val="Heading2"/>
        <w:spacing w:before="300" w:after="150"/>
      </w:pPr>
      <w:r>
        <w:rPr>
          <w:rFonts w:ascii="Arial" w:cs="Arial" w:eastAsia="Arial" w:hAnsi="Arial"/>
          <w:b/>
          <w:bCs/>
          <w:color w:val="1B4D3E"/>
          <w:sz w:val="26"/>
          <w:szCs w:val="26"/>
        </w:rPr>
        <w:t xml:space="preserve">8.2 Status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State</w:t>
            </w:r>
          </w:p>
        </w:tc>
        <w:tc>
          <w:tcPr>
            <w:tcW w:type="dxa" w:w="58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Message</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early stage</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Gathering (approaching 20%) · Closes Mar 15</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building</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(approaching 50%) · Closes Mar 15</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momentum</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Gaining Momentum (approaching 75%) · Closes Mar 15</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almost there</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Almost There (approaching 100%) · Closes Mar 15</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Milestone reached</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(50% reached) · Closes Mar 15</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Funds committed</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Your funds are protected · Waiting for campaign completion</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successful</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Goal Reached ✓ · Fulfillment in progress</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 fulfillment</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Fulfillment underway · Expected arrival: Apr 20-25</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failed</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did not reach goal · Full refund processing</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Refund issued</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Full refund of $185.00 issued · Allow 5 business days</w:t>
            </w:r>
          </w:p>
        </w:tc>
      </w:tr>
    </w:tbl>
    <w:p>
      <w:pPr>
        <w:spacing w:after="300"/>
      </w:pPr>
    </w:p>
    <w:p>
      <w:pPr>
        <w:pStyle w:val="Heading2"/>
        <w:spacing w:before="300" w:after="150"/>
      </w:pPr>
      <w:r>
        <w:rPr>
          <w:rFonts w:ascii="Arial" w:cs="Arial" w:eastAsia="Arial" w:hAnsi="Arial"/>
          <w:b/>
          <w:bCs/>
          <w:color w:val="1B4D3E"/>
          <w:sz w:val="26"/>
          <w:szCs w:val="26"/>
        </w:rPr>
        <w:t xml:space="preserve">8.3 Empty States &amp;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Context</w:t>
            </w:r>
          </w:p>
        </w:tc>
        <w:tc>
          <w:tcPr>
            <w:tcW w:type="dxa" w:w="586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Copy</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active campaigns</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campaigns are open right now. We'll notify you when new campaigns launch.</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Payment failed</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We couldn't process your commitment. Please check your payment details and try again.</w:t>
            </w:r>
          </w:p>
        </w:tc>
      </w:tr>
      <w:tr>
        <w:tc>
          <w:tcPr>
            <w:tcW w:type="dxa" w:w="35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Campaign closed</w:t>
            </w:r>
          </w:p>
        </w:tc>
        <w:tc>
          <w:tcPr>
            <w:tcW w:type="dxa" w:w="58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This campaign has closed. Your funds were never charged.</w:t>
            </w:r>
          </w:p>
        </w:tc>
      </w:tr>
      <w:tr>
        <w:tc>
          <w:tcPr>
            <w:tcW w:type="dxa" w:w="35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Network error</w:t>
            </w:r>
          </w:p>
        </w:tc>
        <w:tc>
          <w:tcPr>
            <w:tcW w:type="dxa" w:w="58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Something went wrong on our end. Your funds are safe. Please try again.</w:t>
            </w:r>
          </w:p>
        </w:tc>
      </w:tr>
    </w:tbl>
    <w:p>
      <w:r>
        <w:br w:type="page"/>
      </w:r>
    </w:p>
    <w:p>
      <w:pPr>
        <w:pStyle w:val="Heading1"/>
        <w:spacing w:before="400" w:after="200"/>
      </w:pPr>
      <w:r>
        <w:rPr>
          <w:rFonts w:ascii="Arial" w:cs="Arial" w:eastAsia="Arial" w:hAnsi="Arial"/>
          <w:b/>
          <w:bCs/>
          <w:color w:val="1B4D3E"/>
          <w:sz w:val="32"/>
          <w:szCs w:val="32"/>
        </w:rPr>
        <w:t xml:space="preserve">9. Extended Writing Samples</w:t>
      </w:r>
    </w:p>
    <w:p>
      <w:pPr>
        <w:pStyle w:val="Heading2"/>
        <w:spacing w:before="300" w:after="150"/>
      </w:pPr>
      <w:r>
        <w:rPr>
          <w:rFonts w:ascii="Arial" w:cs="Arial" w:eastAsia="Arial" w:hAnsi="Arial"/>
          <w:b/>
          <w:bCs/>
          <w:color w:val="1B4D3E"/>
          <w:sz w:val="26"/>
          <w:szCs w:val="26"/>
        </w:rPr>
        <w:t xml:space="preserve">9.1 Homepage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200"/>
              <w:left w:type="dxa" w:w="300"/>
              <w:bottom w:type="dxa" w:w="200"/>
              <w:right w:type="dxa" w:w="300"/>
            </w:tcMar>
          </w:tcPr>
          <w:p>
            <w:pPr>
              <w:spacing w:after="150"/>
              <w:jc w:val="center"/>
            </w:pPr>
            <w:r>
              <w:rPr>
                <w:rFonts w:ascii="Libre Baskerville" w:cs="Libre Baskerville" w:eastAsia="Libre Baskerville" w:hAnsi="Libre Baskerville"/>
                <w:b/>
                <w:bCs/>
                <w:color w:val="1B4D3E"/>
                <w:sz w:val="36"/>
                <w:szCs w:val="36"/>
              </w:rPr>
              <w:t xml:space="preserve">Together, we unlock what alone we cannot reach.</w:t>
            </w:r>
          </w:p>
          <w:p>
            <w:pPr>
              <w:spacing w:after="150"/>
              <w:jc w:val="center"/>
            </w:pPr>
            <w:r>
              <w:rPr>
                <w:rFonts w:ascii="Arial" w:cs="Arial" w:eastAsia="Arial" w:hAnsi="Arial"/>
                <w:color w:val="2D2D2D"/>
                <w:sz w:val="22"/>
                <w:szCs w:val="22"/>
              </w:rPr>
              <w:t xml:space="preserve">Alpmera runs collective buying campaigns for consumers. Join a campaign, commit your funds with escrow-style protection, and unlock access to goods that require collective purchasing power.</w:t>
            </w:r>
          </w:p>
          <w:p>
            <w:pPr>
              <w:jc w:val="center"/>
            </w:pPr>
            <w:r>
              <w:rPr>
                <w:rFonts w:ascii="Arial" w:cs="Arial" w:eastAsia="Arial" w:hAnsi="Arial"/>
                <w:i/>
                <w:iCs/>
                <w:color w:val="5A5A5A"/>
                <w:sz w:val="20"/>
                <w:szCs w:val="20"/>
              </w:rPr>
              <w:t xml:space="preserve">If a campaign doesn't reach its goal, you get a full refund. No risk. No pressure. No games.</w:t>
            </w:r>
          </w:p>
        </w:tc>
      </w:tr>
    </w:tbl>
    <w:p>
      <w:pPr>
        <w:spacing w:after="300"/>
      </w:pPr>
    </w:p>
    <w:p>
      <w:pPr>
        <w:pStyle w:val="Heading2"/>
        <w:spacing w:before="300" w:after="150"/>
      </w:pPr>
      <w:r>
        <w:rPr>
          <w:rFonts w:ascii="Arial" w:cs="Arial" w:eastAsia="Arial" w:hAnsi="Arial"/>
          <w:b/>
          <w:bCs/>
          <w:color w:val="1B4D3E"/>
          <w:sz w:val="26"/>
          <w:szCs w:val="26"/>
        </w:rPr>
        <w:t xml:space="preserve">9.2 How It Works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E8DED1" w:val="clear"/>
            <w:tcMar>
              <w:top w:type="dxa" w:w="200"/>
              <w:left w:type="dxa" w:w="300"/>
              <w:bottom w:type="dxa" w:w="200"/>
              <w:right w:type="dxa" w:w="300"/>
            </w:tcMar>
          </w:tcPr>
          <w:p>
            <w:pPr>
              <w:spacing w:after="150"/>
            </w:pPr>
            <w:r>
              <w:rPr>
                <w:rFonts w:ascii="Arial" w:cs="Arial" w:eastAsia="Arial" w:hAnsi="Arial"/>
                <w:b/>
                <w:bCs/>
                <w:color w:val="1B4D3E"/>
                <w:sz w:val="28"/>
                <w:szCs w:val="28"/>
              </w:rPr>
              <w:t xml:space="preserve">How Alpmera Works</w:t>
            </w:r>
          </w:p>
          <w:p>
            <w:pPr>
              <w:spacing w:after="120"/>
            </w:pPr>
            <w:r>
              <w:rPr>
                <w:rFonts w:ascii="Arial" w:cs="Arial" w:eastAsia="Arial" w:hAnsi="Arial"/>
                <w:b/>
                <w:bCs/>
                <w:color w:val="2D2D2D"/>
                <w:sz w:val="20"/>
                <w:szCs w:val="20"/>
              </w:rPr>
              <w:t xml:space="preserve">1. We vet and certify </w:t>
            </w:r>
            <w:r>
              <w:rPr>
                <w:rFonts w:ascii="Arial" w:cs="Arial" w:eastAsia="Arial" w:hAnsi="Arial"/>
                <w:color w:val="2D2D2D"/>
                <w:sz w:val="20"/>
                <w:szCs w:val="20"/>
              </w:rPr>
              <w:t xml:space="preserve">— Before any campaign launches, Alpmera evaluates manufacturers through our certification process. Only </w:t>
            </w:r>
            <w:r>
              <w:rPr>
                <w:rFonts w:ascii="Arial" w:cs="Arial" w:eastAsia="Arial" w:hAnsi="Arial"/>
                <w:b/>
                <w:bCs/>
                <w:color w:val="1B4D3E"/>
                <w:sz w:val="20"/>
                <w:szCs w:val="20"/>
              </w:rPr>
              <w:t xml:space="preserve">Alpmera Certified</w:t>
            </w:r>
            <w:r>
              <w:rPr>
                <w:rFonts w:ascii="Arial" w:cs="Arial" w:eastAsia="Arial" w:hAnsi="Arial"/>
                <w:color w:val="2D2D2D"/>
                <w:sz w:val="20"/>
                <w:szCs w:val="20"/>
              </w:rPr>
              <w:t xml:space="preserve"> manufacturers appear on the platform.</w:t>
            </w:r>
          </w:p>
          <w:p>
            <w:pPr>
              <w:spacing w:after="120"/>
            </w:pPr>
            <w:r>
              <w:rPr>
                <w:rFonts w:ascii="Arial" w:cs="Arial" w:eastAsia="Arial" w:hAnsi="Arial"/>
                <w:b/>
                <w:bCs/>
                <w:color w:val="2D2D2D"/>
                <w:sz w:val="20"/>
                <w:szCs w:val="20"/>
              </w:rPr>
              <w:t xml:space="preserve">2. We design campaigns </w:t>
            </w:r>
            <w:r>
              <w:rPr>
                <w:rFonts w:ascii="Arial" w:cs="Arial" w:eastAsia="Arial" w:hAnsi="Arial"/>
                <w:color w:val="2D2D2D"/>
                <w:sz w:val="20"/>
                <w:szCs w:val="20"/>
              </w:rPr>
              <w:t xml:space="preserve">— For each certified manufacturer, Alpmera designs a campaign that makes collective access possible.</w:t>
            </w:r>
          </w:p>
          <w:p>
            <w:pPr>
              <w:spacing w:after="120"/>
            </w:pPr>
            <w:r>
              <w:rPr>
                <w:rFonts w:ascii="Arial" w:cs="Arial" w:eastAsia="Arial" w:hAnsi="Arial"/>
                <w:b/>
                <w:bCs/>
                <w:color w:val="2D2D2D"/>
                <w:sz w:val="20"/>
                <w:szCs w:val="20"/>
              </w:rPr>
              <w:t xml:space="preserve">3. You join and commit </w:t>
            </w:r>
            <w:r>
              <w:rPr>
                <w:rFonts w:ascii="Arial" w:cs="Arial" w:eastAsia="Arial" w:hAnsi="Arial"/>
                <w:color w:val="2D2D2D"/>
                <w:sz w:val="20"/>
                <w:szCs w:val="20"/>
              </w:rPr>
              <w:t xml:space="preserve">— Browse open campaigns and commit funds to the ones you want. Your money is held in escrow-style protection.</w:t>
            </w:r>
          </w:p>
          <w:p>
            <w:pPr>
              <w:spacing w:after="120"/>
            </w:pPr>
            <w:r>
              <w:rPr>
                <w:rFonts w:ascii="Arial" w:cs="Arial" w:eastAsia="Arial" w:hAnsi="Arial"/>
                <w:b/>
                <w:bCs/>
                <w:color w:val="2D2D2D"/>
                <w:sz w:val="20"/>
                <w:szCs w:val="20"/>
              </w:rPr>
              <w:t xml:space="preserve">4. Campaign reaches goal </w:t>
            </w:r>
            <w:r>
              <w:rPr>
                <w:rFonts w:ascii="Arial" w:cs="Arial" w:eastAsia="Arial" w:hAnsi="Arial"/>
                <w:color w:val="2D2D2D"/>
                <w:sz w:val="20"/>
                <w:szCs w:val="20"/>
              </w:rPr>
              <w:t xml:space="preserve">— Once the campaign reaches Goal Reached status, we lock the campaign and begin procurement.</w:t>
            </w:r>
          </w:p>
          <w:p>
            <w:pPr>
              <w:spacing w:after="120"/>
            </w:pPr>
            <w:r>
              <w:rPr>
                <w:rFonts w:ascii="Arial" w:cs="Arial" w:eastAsia="Arial" w:hAnsi="Arial"/>
                <w:b/>
                <w:bCs/>
                <w:color w:val="2D2D2D"/>
                <w:sz w:val="20"/>
                <w:szCs w:val="20"/>
              </w:rPr>
              <w:t xml:space="preserve">5. We handle fulfillment </w:t>
            </w:r>
            <w:r>
              <w:rPr>
                <w:rFonts w:ascii="Arial" w:cs="Arial" w:eastAsia="Arial" w:hAnsi="Arial"/>
                <w:color w:val="2D2D2D"/>
                <w:sz w:val="20"/>
                <w:szCs w:val="20"/>
              </w:rPr>
              <w:t xml:space="preserve">— Alpmera manages all procurement and delivers to your door. You never interact with suppliers.</w:t>
            </w:r>
          </w:p>
          <w:p>
            <w:r>
              <w:rPr>
                <w:rFonts w:ascii="Arial" w:cs="Arial" w:eastAsia="Arial" w:hAnsi="Arial"/>
                <w:b/>
                <w:bCs/>
                <w:color w:val="2D2D2D"/>
                <w:sz w:val="20"/>
                <w:szCs w:val="20"/>
              </w:rPr>
              <w:t xml:space="preserve">6. Or you get refunded </w:t>
            </w:r>
            <w:r>
              <w:rPr>
                <w:rFonts w:ascii="Arial" w:cs="Arial" w:eastAsia="Arial" w:hAnsi="Arial"/>
                <w:color w:val="2D2D2D"/>
                <w:sz w:val="20"/>
                <w:szCs w:val="20"/>
              </w:rPr>
              <w:t xml:space="preserve">— If a campaign doesn't reach its goal, we process a full refund within 5 business days. No questions.</w:t>
            </w:r>
          </w:p>
        </w:tc>
      </w:tr>
    </w:tbl>
    <w:p>
      <w:pPr>
        <w:spacing w:after="300"/>
      </w:pPr>
    </w:p>
    <w:p>
      <w:pPr>
        <w:pStyle w:val="Heading2"/>
        <w:spacing w:before="300" w:after="150"/>
      </w:pPr>
      <w:r>
        <w:rPr>
          <w:rFonts w:ascii="Arial" w:cs="Arial" w:eastAsia="Arial" w:hAnsi="Arial"/>
          <w:b/>
          <w:bCs/>
          <w:color w:val="1B4D3E"/>
          <w:sz w:val="26"/>
          <w:szCs w:val="26"/>
        </w:rPr>
        <w:t xml:space="preserve">9.3 FAQ Copy Samples</w:t>
      </w:r>
    </w:p>
    <w:p>
      <w:pPr>
        <w:spacing w:after="150"/>
      </w:pPr>
      <w:r>
        <w:rPr>
          <w:rFonts w:ascii="Arial" w:cs="Arial" w:eastAsia="Arial" w:hAnsi="Arial"/>
          <w:b/>
          <w:bCs/>
          <w:i w:val="false"/>
          <w:iCs w:val="false"/>
          <w:color w:val="2D2D2D"/>
          <w:sz w:val="22"/>
          <w:szCs w:val="22"/>
        </w:rPr>
        <w:t xml:space="preserve">Q: Is my money safe?</w:t>
      </w:r>
    </w:p>
    <w:p>
      <w:pPr>
        <w:spacing w:after="150"/>
      </w:pPr>
      <w:r>
        <w:rPr>
          <w:rFonts w:ascii="Arial" w:cs="Arial" w:eastAsia="Arial" w:hAnsi="Arial"/>
          <w:b w:val="false"/>
          <w:bCs w:val="false"/>
          <w:i w:val="false"/>
          <w:iCs w:val="false"/>
          <w:color w:val="2D2D2D"/>
          <w:sz w:val="22"/>
          <w:szCs w:val="22"/>
        </w:rPr>
        <w:t xml:space="preserve">A: Yes. When you commit funds to a campaign, that money is held in escrow-style protection. It's not released to anyone—including us—until the campaign successfully reaches Goal Reached status and fulfillment begins. If the campaign doesn't reach its goal, you receive a full refund. Your funds are never at risk.</w:t>
      </w:r>
    </w:p>
    <w:p>
      <w:pPr>
        <w:spacing w:after="150"/>
      </w:pPr>
    </w:p>
    <w:p>
      <w:pPr>
        <w:spacing w:after="150"/>
      </w:pPr>
      <w:r>
        <w:rPr>
          <w:rFonts w:ascii="Arial" w:cs="Arial" w:eastAsia="Arial" w:hAnsi="Arial"/>
          <w:b/>
          <w:bCs/>
          <w:i w:val="false"/>
          <w:iCs w:val="false"/>
          <w:color w:val="2D2D2D"/>
          <w:sz w:val="22"/>
          <w:szCs w:val="22"/>
        </w:rPr>
        <w:t xml:space="preserve">Q: How do I know how a campaign is progressing?</w:t>
      </w:r>
    </w:p>
    <w:p>
      <w:pPr>
        <w:spacing w:after="150"/>
      </w:pPr>
      <w:r>
        <w:rPr>
          <w:rFonts w:ascii="Arial" w:cs="Arial" w:eastAsia="Arial" w:hAnsi="Arial"/>
          <w:b w:val="false"/>
          <w:bCs w:val="false"/>
          <w:i w:val="false"/>
          <w:iCs w:val="false"/>
          <w:color w:val="2D2D2D"/>
          <w:sz w:val="22"/>
          <w:szCs w:val="22"/>
        </w:rPr>
        <w:t xml:space="preserve">A: Each campaign shows its current stage: Gathering, Building, Gaining Momentum, Almost There, or Goal Reached. You'll also see the next milestone the campaign is approaching. This lets you understand momentum without us exposing operational details.</w:t>
      </w:r>
    </w:p>
    <w:p>
      <w:pPr>
        <w:spacing w:after="150"/>
      </w:pPr>
    </w:p>
    <w:p>
      <w:pPr>
        <w:spacing w:after="150"/>
      </w:pPr>
      <w:r>
        <w:rPr>
          <w:rFonts w:ascii="Arial" w:cs="Arial" w:eastAsia="Arial" w:hAnsi="Arial"/>
          <w:b/>
          <w:bCs/>
          <w:i w:val="false"/>
          <w:iCs w:val="false"/>
          <w:color w:val="2D2D2D"/>
          <w:sz w:val="22"/>
          <w:szCs w:val="22"/>
        </w:rPr>
        <w:t xml:space="preserve">Q: What happens if a campaign fails?</w:t>
      </w:r>
    </w:p>
    <w:p>
      <w:pPr>
        <w:spacing w:after="150"/>
      </w:pPr>
      <w:r>
        <w:rPr>
          <w:rFonts w:ascii="Arial" w:cs="Arial" w:eastAsia="Arial" w:hAnsi="Arial"/>
          <w:b w:val="false"/>
          <w:bCs w:val="false"/>
          <w:i w:val="false"/>
          <w:iCs w:val="false"/>
          <w:color w:val="2D2D2D"/>
          <w:sz w:val="22"/>
          <w:szCs w:val="22"/>
        </w:rPr>
        <w:t xml:space="preserve">A: We issue a full refund. No partial refunds, no credits, no complications. If we can't deliver what we promised, you get your money back within 5 business days.</w:t>
      </w:r>
    </w:p>
    <w:p>
      <w:pPr>
        <w:spacing w:after="150"/>
      </w:pPr>
    </w:p>
    <w:p>
      <w:pPr>
        <w:spacing w:after="150"/>
      </w:pPr>
      <w:r>
        <w:rPr>
          <w:rFonts w:ascii="Arial" w:cs="Arial" w:eastAsia="Arial" w:hAnsi="Arial"/>
          <w:b/>
          <w:bCs/>
          <w:i w:val="false"/>
          <w:iCs w:val="false"/>
          <w:color w:val="2D2D2D"/>
          <w:sz w:val="22"/>
          <w:szCs w:val="22"/>
        </w:rPr>
        <w:t xml:space="preserve">Q: Can I cancel my participation?</w:t>
      </w:r>
    </w:p>
    <w:p>
      <w:pPr>
        <w:spacing w:after="150"/>
      </w:pPr>
      <w:r>
        <w:rPr>
          <w:rFonts w:ascii="Arial" w:cs="Arial" w:eastAsia="Arial" w:hAnsi="Arial"/>
          <w:b w:val="false"/>
          <w:bCs w:val="false"/>
          <w:i w:val="false"/>
          <w:iCs w:val="false"/>
          <w:color w:val="2D2D2D"/>
          <w:sz w:val="22"/>
          <w:szCs w:val="22"/>
        </w:rPr>
        <w:t xml:space="preserve">A: Yes, you can withdraw from any campaign before it closes. Once a campaign closes and reaches Goal Reached status, commitments are locked to ensure we can fulfill for all participants.</w:t>
      </w:r>
    </w:p>
    <w:p>
      <w:pPr>
        <w:spacing w:after="150"/>
      </w:pPr>
    </w:p>
    <w:p>
      <w:pPr>
        <w:spacing w:after="150"/>
      </w:pPr>
      <w:r>
        <w:rPr>
          <w:rFonts w:ascii="Arial" w:cs="Arial" w:eastAsia="Arial" w:hAnsi="Arial"/>
          <w:b/>
          <w:bCs/>
          <w:i w:val="false"/>
          <w:iCs w:val="false"/>
          <w:color w:val="2D2D2D"/>
          <w:sz w:val="22"/>
          <w:szCs w:val="22"/>
        </w:rPr>
        <w:t xml:space="preserve">Q: What does Alpmera Certified mean?</w:t>
      </w:r>
    </w:p>
    <w:p>
      <w:pPr>
        <w:spacing w:after="150"/>
      </w:pPr>
      <w:r>
        <w:rPr>
          <w:rFonts w:ascii="Arial" w:cs="Arial" w:eastAsia="Arial" w:hAnsi="Arial"/>
          <w:b w:val="false"/>
          <w:bCs w:val="false"/>
          <w:i w:val="false"/>
          <w:iCs w:val="false"/>
          <w:color w:val="2D2D2D"/>
          <w:sz w:val="22"/>
          <w:szCs w:val="22"/>
        </w:rPr>
        <w:t xml:space="preserve">A: Every manufacturer on Alpmera goes through our certification process before any campaign launches. Alpmera Certified means we've evaluated the manufacturer and determined they meet our standards for product quality, fulfillment reliability, and consumer protection. We only run campaigns with certified manufacturers.</w:t>
      </w:r>
    </w:p>
    <w:p>
      <w:pPr>
        <w:spacing w:after="150"/>
      </w:pPr>
    </w:p>
    <w:p>
      <w:pPr>
        <w:spacing w:after="150"/>
      </w:pPr>
      <w:r>
        <w:rPr>
          <w:rFonts w:ascii="Arial" w:cs="Arial" w:eastAsia="Arial" w:hAnsi="Arial"/>
          <w:b/>
          <w:bCs/>
          <w:i w:val="false"/>
          <w:iCs w:val="false"/>
          <w:color w:val="2D2D2D"/>
          <w:sz w:val="22"/>
          <w:szCs w:val="22"/>
        </w:rPr>
        <w:t xml:space="preserve">Q: How do you choose which manufacturers to certify?</w:t>
      </w:r>
    </w:p>
    <w:p>
      <w:pPr>
        <w:spacing w:after="150"/>
      </w:pPr>
      <w:r>
        <w:rPr>
          <w:rFonts w:ascii="Arial" w:cs="Arial" w:eastAsia="Arial" w:hAnsi="Arial"/>
          <w:b w:val="false"/>
          <w:bCs w:val="false"/>
          <w:i w:val="false"/>
          <w:iCs w:val="false"/>
          <w:color w:val="2D2D2D"/>
          <w:sz w:val="22"/>
          <w:szCs w:val="22"/>
        </w:rPr>
        <w:t xml:space="preserve">A: Our certification process evaluates manufacturers across multiple criteria. We don't disclose the specific details of our vetting methodology, but we stand behind every Alpmera Certified manufacturer. If a certified manufacturer fails to deliver, we take full responsibility—including issuing refunds.</w:t>
      </w:r>
    </w:p>
    <w:p>
      <w:r>
        <w:br w:type="page"/>
      </w:r>
    </w:p>
    <w:p>
      <w:pPr>
        <w:pStyle w:val="Heading1"/>
        <w:spacing w:before="400" w:after="200"/>
      </w:pPr>
      <w:r>
        <w:rPr>
          <w:rFonts w:ascii="Arial" w:cs="Arial" w:eastAsia="Arial" w:hAnsi="Arial"/>
          <w:b/>
          <w:bCs/>
          <w:color w:val="1B4D3E"/>
          <w:sz w:val="32"/>
          <w:szCs w:val="32"/>
        </w:rPr>
        <w:t xml:space="preserve">10. Anti-Patterns (What We Never Do)</w:t>
      </w:r>
    </w:p>
    <w:p>
      <w:pPr>
        <w:spacing w:after="150"/>
      </w:pPr>
      <w:r>
        <w:rPr>
          <w:rFonts w:ascii="Arial" w:cs="Arial" w:eastAsia="Arial" w:hAnsi="Arial"/>
          <w:b w:val="false"/>
          <w:bCs w:val="false"/>
          <w:i w:val="false"/>
          <w:iCs w:val="false"/>
          <w:color w:val="2D2D2D"/>
          <w:sz w:val="22"/>
          <w:szCs w:val="22"/>
        </w:rPr>
        <w:t xml:space="preserve">These patterns are explicitly forbidden in all Alpmera communications.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Anti-Pattern</w:t>
            </w:r>
          </w:p>
        </w:tc>
        <w:tc>
          <w:tcPr>
            <w:tcW w:type="dxa" w:w="6360"/>
            <w:tcBorders>
              <w:top w:val="single" w:color="D4CFC7" w:sz="1"/>
              <w:left w:val="single" w:color="D4CFC7" w:sz="1"/>
              <w:bottom w:val="single" w:color="D4CFC7" w:sz="1"/>
              <w:right w:val="single" w:color="D4CFC7" w:sz="1"/>
            </w:tcBorders>
            <w:shd w:fill="8B3A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Why It's Forbidden</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Exposing counts</w:t>
            </w:r>
          </w:p>
        </w:tc>
        <w:tc>
          <w:tcPr>
            <w:tcW w:type="dxa" w:w="6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"47 of 50" or "3 more needed" reveals MOQ thresholds. Use stage system only.</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Precise percentages</w:t>
            </w:r>
          </w:p>
        </w:tc>
        <w:tc>
          <w:tcPr>
            <w:tcW w:type="dxa" w:w="6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"94% complete" allows reverse calculation. Use milestone percentages (20%, 50%, 75%, 100%) only.</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False urgency</w:t>
            </w:r>
          </w:p>
        </w:tc>
        <w:tc>
          <w:tcPr>
            <w:tcW w:type="dxa" w:w="6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"Only 2 left!" or "Ending soon!" when arbitrary. State real deadlines without pressure.</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Implied guarantees</w:t>
            </w:r>
          </w:p>
        </w:tc>
        <w:tc>
          <w:tcPr>
            <w:tcW w:type="dxa" w:w="6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Never imply a campaign will succeed. Always communicate that outcomes are uncertain until Goal Reached.</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Retail language</w:t>
            </w:r>
          </w:p>
        </w:tc>
        <w:tc>
          <w:tcPr>
            <w:tcW w:type="dxa" w:w="6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Words like "buy," "order," "checkout" belong to retail. Use "join," "commit," "participate."</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Passive voice in failures</w:t>
            </w:r>
          </w:p>
        </w:tc>
        <w:tc>
          <w:tcPr>
            <w:tcW w:type="dxa" w:w="6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Never "Your order was cancelled." Always "This campaign did not reach its goal. We are refunding you."</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Discount framing</w:t>
            </w:r>
          </w:p>
        </w:tc>
        <w:tc>
          <w:tcPr>
            <w:tcW w:type="dxa" w:w="6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We don't position as "deals" or "savings." We enable access through collective power, not bargain hunting.</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Over-promising</w:t>
            </w:r>
          </w:p>
        </w:tc>
        <w:tc>
          <w:tcPr>
            <w:tcW w:type="dxa" w:w="6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Never guarantee delivery dates, product availability, or campaign success before Goal Reached.</w:t>
            </w:r>
          </w:p>
        </w:tc>
      </w:tr>
      <w:tr>
        <w:tc>
          <w:tcPr>
            <w:tcW w:type="dxa" w:w="300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bCs/>
                <w:color w:val="2D2D2D"/>
                <w:sz w:val="20"/>
                <w:szCs w:val="20"/>
              </w:rPr>
              <w:t xml:space="preserve">Hiding conditions</w:t>
            </w:r>
          </w:p>
        </w:tc>
        <w:tc>
          <w:tcPr>
            <w:tcW w:type="dxa" w:w="636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All conditions, requirements, and potential failure modes must be visible upfront. No buried terms.</w:t>
            </w:r>
          </w:p>
        </w:tc>
      </w:tr>
      <w:tr>
        <w:tc>
          <w:tcPr>
            <w:tcW w:type="dxa" w:w="300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bCs/>
                <w:color w:val="2D2D2D"/>
                <w:sz w:val="20"/>
                <w:szCs w:val="20"/>
              </w:rPr>
              <w:t xml:space="preserve">Gamification</w:t>
            </w:r>
          </w:p>
        </w:tc>
        <w:tc>
          <w:tcPr>
            <w:tcW w:type="dxa" w:w="636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points, badges, streaks, or rewards. Participation is the reward. Progress is reported via stages.</w:t>
            </w:r>
          </w:p>
        </w:tc>
      </w:tr>
    </w:tbl>
    <w:p>
      <w:r>
        <w:br w:type="page"/>
      </w:r>
    </w:p>
    <w:p>
      <w:pPr>
        <w:pStyle w:val="Heading1"/>
        <w:spacing w:before="400" w:after="200"/>
      </w:pPr>
      <w:r>
        <w:rPr>
          <w:rFonts w:ascii="Arial" w:cs="Arial" w:eastAsia="Arial" w:hAnsi="Arial"/>
          <w:b/>
          <w:bCs/>
          <w:color w:val="1B4D3E"/>
          <w:sz w:val="32"/>
          <w:szCs w:val="32"/>
        </w:rPr>
        <w:t xml:space="preserve">11. Quick Reference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1B4D3E" w:val="clear"/>
            <w:tcMar>
              <w:top w:type="dxa" w:w="150"/>
              <w:left w:type="dxa" w:w="200"/>
              <w:bottom w:type="dxa" w:w="150"/>
              <w:right w:type="dxa" w:w="200"/>
            </w:tcMar>
          </w:tcPr>
          <w:p>
            <w:pPr>
              <w:jc w:val="center"/>
            </w:pPr>
            <w:r>
              <w:rPr>
                <w:rFonts w:ascii="Arial" w:cs="Arial" w:eastAsia="Arial" w:hAnsi="Arial"/>
                <w:b/>
                <w:bCs/>
                <w:color w:val="FFFFFF"/>
                <w:sz w:val="22"/>
                <w:szCs w:val="22"/>
              </w:rPr>
              <w:t xml:space="preserve">WE ARE</w:t>
            </w:r>
          </w:p>
        </w:tc>
        <w:tc>
          <w:tcPr>
            <w:tcW w:type="dxa" w:w="4680"/>
            <w:tcBorders>
              <w:top w:val="single" w:color="D4CFC7" w:sz="1"/>
              <w:left w:val="single" w:color="D4CFC7" w:sz="1"/>
              <w:bottom w:val="single" w:color="D4CFC7" w:sz="1"/>
              <w:right w:val="single" w:color="D4CFC7" w:sz="1"/>
            </w:tcBorders>
            <w:shd w:fill="8B3A3A" w:val="clear"/>
            <w:tcMar>
              <w:top w:type="dxa" w:w="150"/>
              <w:left w:type="dxa" w:w="200"/>
              <w:bottom w:type="dxa" w:w="150"/>
              <w:right w:type="dxa" w:w="200"/>
            </w:tcMar>
          </w:tcPr>
          <w:p>
            <w:pPr>
              <w:jc w:val="center"/>
            </w:pPr>
            <w:r>
              <w:rPr>
                <w:rFonts w:ascii="Arial" w:cs="Arial" w:eastAsia="Arial" w:hAnsi="Arial"/>
                <w:b/>
                <w:bCs/>
                <w:color w:val="FFFFFF"/>
                <w:sz w:val="22"/>
                <w:szCs w:val="22"/>
              </w:rPr>
              <w:t xml:space="preserve">WE ARE NOT</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An operator</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 marketplace</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Protective</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Promotional</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Explicit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Clever</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Collective-focused</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Transaction-focused</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Accountable</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Evasive</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Patient</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Urgent</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Consumer-first</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Growth-first</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Trust-building</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Conversion-optimizing</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Stage-based progress</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Count-based progress</w:t>
            </w:r>
          </w:p>
        </w:tc>
      </w:tr>
    </w:tbl>
    <w:p>
      <w:pPr>
        <w:spacing w:after="300"/>
      </w:pPr>
    </w:p>
    <w:p>
      <w:pPr>
        <w:pStyle w:val="Heading2"/>
        <w:spacing w:before="300" w:after="150"/>
      </w:pPr>
      <w:r>
        <w:rPr>
          <w:rFonts w:ascii="Arial" w:cs="Arial" w:eastAsia="Arial" w:hAnsi="Arial"/>
          <w:b/>
          <w:bCs/>
          <w:color w:val="1B4D3E"/>
          <w:sz w:val="26"/>
          <w:szCs w:val="26"/>
        </w:rPr>
        <w:t xml:space="preserve">11.1 Progress Stages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Stage</w:t>
            </w:r>
          </w:p>
        </w:tc>
        <w:tc>
          <w:tcPr>
            <w:tcW w:type="dxa" w:w="4680"/>
            <w:tcBorders>
              <w:top w:val="single" w:color="D4CFC7" w:sz="1"/>
              <w:left w:val="single" w:color="D4CFC7" w:sz="1"/>
              <w:bottom w:val="single" w:color="D4CFC7" w:sz="1"/>
              <w:right w:val="single" w:color="D4CFC7" w:sz="1"/>
            </w:tcBorders>
            <w:shd w:fill="1B4D3E"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Display</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0–19%</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Gathering (approaching 20%)</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20%</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Gathering (20% reached)</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21–49%</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(approaching 50%)</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50%</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Building (50% reached)</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51–74%</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Gaining Momentum (approaching 75%)</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75%</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Gaining Momentum (75% reached)</w:t>
            </w:r>
          </w:p>
        </w:tc>
      </w:tr>
      <w:tr>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76–99%</w:t>
            </w:r>
          </w:p>
        </w:tc>
        <w:tc>
          <w:tcPr>
            <w:tcW w:type="dxa" w:w="4680"/>
            <w:tcBorders>
              <w:top w:val="single" w:color="D4CFC7" w:sz="1"/>
              <w:left w:val="single" w:color="D4CFC7" w:sz="1"/>
              <w:bottom w:val="single" w:color="D4CFC7" w:sz="1"/>
              <w:right w:val="single" w:color="D4CFC7" w:sz="1"/>
            </w:tcBorders>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Almost There (approaching 100%)</w:t>
            </w:r>
          </w:p>
        </w:tc>
      </w:tr>
      <w:tr>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100%</w:t>
            </w:r>
          </w:p>
        </w:tc>
        <w:tc>
          <w:tcPr>
            <w:tcW w:type="dxa" w:w="4680"/>
            <w:tcBorders>
              <w:top w:val="single" w:color="D4CFC7" w:sz="1"/>
              <w:left w:val="single" w:color="D4CFC7" w:sz="1"/>
              <w:bottom w:val="single" w:color="D4CFC7" w:sz="1"/>
              <w:right w:val="single" w:color="D4CFC7" w:sz="1"/>
            </w:tcBorders>
            <w:shd w:fill="F5F2ED"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Goal Reached ✓</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7" w:sz="1"/>
              <w:left w:val="single" w:color="D4CFC7" w:sz="1"/>
              <w:bottom w:val="single" w:color="D4CFC7" w:sz="1"/>
              <w:right w:val="single" w:color="D4CFC7" w:sz="1"/>
            </w:tcBorders>
            <w:shd w:fill="1B4D3E" w:val="clear"/>
            <w:tcMar>
              <w:top w:type="dxa" w:w="200"/>
              <w:left w:type="dxa" w:w="300"/>
              <w:bottom w:type="dxa" w:w="200"/>
              <w:right w:type="dxa" w:w="300"/>
            </w:tcMar>
          </w:tcPr>
          <w:p>
            <w:pPr>
              <w:spacing w:after="100"/>
              <w:jc w:val="center"/>
            </w:pPr>
            <w:r>
              <w:rPr>
                <w:rFonts w:ascii="Arial" w:cs="Arial" w:eastAsia="Arial" w:hAnsi="Arial"/>
                <w:b/>
                <w:bCs/>
                <w:color w:val="FFFFFF"/>
                <w:sz w:val="20"/>
                <w:szCs w:val="20"/>
              </w:rPr>
              <w:t xml:space="preserve">THE ALPMERA VOICE CHECK</w:t>
            </w:r>
          </w:p>
          <w:p>
            <w:pPr>
              <w:jc w:val="center"/>
            </w:pPr>
            <w:r>
              <w:rPr>
                <w:rFonts w:ascii="Arial" w:cs="Arial" w:eastAsia="Arial" w:hAnsi="Arial"/>
                <w:i/>
                <w:iCs/>
                <w:color w:val="FFFFFF"/>
                <w:sz w:val="22"/>
                <w:szCs w:val="22"/>
              </w:rPr>
              <w:t xml:space="preserve">Before publishing any content, ask: Would I trust this if I were a first-time participant who doesn't know us yet? Does it reveal anything a competitor could use?</w:t>
            </w:r>
          </w:p>
        </w:tc>
      </w:tr>
    </w:tbl>
    <w:p>
      <w:pPr>
        <w:spacing w:after="200"/>
      </w:pPr>
    </w:p>
    <w:p>
      <w:pPr>
        <w:spacing w:after="150"/>
      </w:pPr>
      <w:r>
        <w:rPr>
          <w:rFonts w:ascii="Arial" w:cs="Arial" w:eastAsia="Arial" w:hAnsi="Arial"/>
          <w:b w:val="false"/>
          <w:bCs w:val="false"/>
          <w:i/>
          <w:iCs/>
          <w:color w:val="2D2D2D"/>
          <w:sz w:val="22"/>
          <w:szCs w:val="22"/>
        </w:rPr>
        <w:t xml:space="preserve">End of Document</w:t>
      </w:r>
    </w:p>
    <w:p>
      <w:pPr>
        <w:spacing w:after="150"/>
      </w:pPr>
      <w:r>
        <w:rPr>
          <w:rFonts w:ascii="Arial" w:cs="Arial" w:eastAsia="Arial" w:hAnsi="Arial"/>
          <w:b w:val="false"/>
          <w:bCs w:val="false"/>
          <w:i/>
          <w:iCs/>
          <w:color w:val="2D2D2D"/>
          <w:sz w:val="22"/>
          <w:szCs w:val="22"/>
        </w:rPr>
        <w:t xml:space="preserve">Version 2.1 | Phase 1-2 | Last Updated: January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ALPMERA Brand Voice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D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4D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2026-01-23T15:58:57.357Z</dcterms:created>
  <dcterms:modified xsi:type="dcterms:W3CDTF">2026-01-23T15:58:57.358Z</dcterms:modified>
</cp:coreProperties>
</file>

<file path=docProps/custom.xml><?xml version="1.0" encoding="utf-8"?>
<Properties xmlns="http://schemas.openxmlformats.org/officeDocument/2006/custom-properties" xmlns:vt="http://schemas.openxmlformats.org/officeDocument/2006/docPropsVTypes"/>
</file>