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0"/>
              <w:left w:type="dxa" w:w="0"/>
              <w:bottom w:type="dxa" w:w="0"/>
              <w:right w:type="dxa" w:w="160"/>
            </w:tcMar>
            <w:vAlign w:val="center"/>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p>
        </w:tc>
        <w:tc>
          <w:tcPr>
            <w:tcW w:type="dxa" w:w="7920"/>
            <w:tcBorders>
              <w:top w:val="none" w:color="FFFFFF" w:sz="0"/>
              <w:left w:val="none" w:color="FFFFFF" w:sz="0"/>
              <w:bottom w:val="none" w:color="FFFFFF" w:sz="0"/>
              <w:right w:val="none" w:color="FFFFFF" w:sz="0"/>
            </w:tcBorders>
            <w:tcMar>
              <w:top w:type="dxa" w:w="0"/>
              <w:left w:type="dxa" w:w="160"/>
              <w:bottom w:type="dxa" w:w="0"/>
              <w:right w:type="dxa" w:w="0"/>
            </w:tcMar>
            <w:vAlign w:val="center"/>
          </w:tcPr>
          <w:p>
            <w:r>
              <w:rPr>
                <w:rFonts w:ascii="Arial" w:cs="Arial" w:eastAsia="Arial" w:hAnsi="Arial"/>
                <w:b/>
                <w:bCs/>
                <w:color w:val="1e3a5f"/>
                <w:sz w:val="22"/>
                <w:szCs w:val="22"/>
              </w:rPr>
              <w:t xml:space="preserve">NECMETTİN ERBAKAN ÜNİVERSİTESİ</w:t>
            </w:r>
          </w:p>
          <w:p>
            <w:r>
              <w:rPr>
                <w:rFonts w:ascii="Arial" w:cs="Arial" w:eastAsia="Arial" w:hAnsi="Arial"/>
                <w:color w:val="374151"/>
                <w:sz w:val="20"/>
                <w:szCs w:val="20"/>
              </w:rPr>
              <w:t xml:space="preserve">Mühendislik ve Mimarlık Fakültesi</w:t>
            </w:r>
          </w:p>
          <w:p>
            <w:r>
              <w:rPr>
                <w:rFonts w:ascii="Arial" w:cs="Arial" w:eastAsia="Arial" w:hAnsi="Arial"/>
                <w:color w:val="374151"/>
                <w:sz w:val="20"/>
                <w:szCs w:val="20"/>
              </w:rPr>
              <w:t xml:space="preserve">Bilgisayar Mühendisliği Bölümü</w:t>
            </w:r>
          </w:p>
        </w:tc>
      </w:tr>
    </w:tbl>
    <w:p>
      <w:pPr>
        <w:spacing w:after="40" w:before="0"/>
      </w:pPr>
    </w:p>
    <w:p>
      <w:pPr>
        <w:pBdr>
          <w:bottom w:val="single" w:color="1e3a5f" w:sz="8" w:space="1"/>
        </w:pBdr>
        <w:spacing w:after="480" w:before="0"/>
      </w:pPr>
    </w:p>
    <w:p>
      <w:pPr>
        <w:spacing w:after="100" w:before="0"/>
        <w:jc w:val="center"/>
      </w:pPr>
      <w:r>
        <w:rPr>
          <w:rFonts w:ascii="Arial" w:cs="Arial" w:eastAsia="Arial" w:hAnsi="Arial"/>
          <w:b/>
          <w:bCs/>
          <w:color w:val="374151"/>
          <w:sz w:val="24"/>
          <w:szCs w:val="24"/>
        </w:rPr>
        <w:t xml:space="preserve">UYGULAMA TASARIMI DERSİ</w:t>
      </w:r>
    </w:p>
    <w:p>
      <w:pPr>
        <w:spacing w:after="60" w:before="0"/>
        <w:jc w:val="center"/>
      </w:pPr>
      <w:r>
        <w:rPr>
          <w:rFonts w:ascii="Arial" w:cs="Arial" w:eastAsia="Arial" w:hAnsi="Arial"/>
          <w:b/>
          <w:bCs/>
          <w:color w:val="374151"/>
          <w:sz w:val="24"/>
          <w:szCs w:val="24"/>
        </w:rPr>
        <w:t xml:space="preserve">PROJE FORMU</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6"/>
              <w:left w:val="single" w:color="1e3a5f" w:sz="6"/>
              <w:bottom w:val="single" w:color="1e3a5f" w:sz="6"/>
              <w:right w:val="single" w:color="1e3a5f" w:sz="6"/>
            </w:tcBorders>
            <w:shd w:fill="1e3a5f" w:val="clear"/>
            <w:tcMar>
              <w:top w:type="dxa" w:w="120"/>
              <w:left w:type="dxa" w:w="200"/>
              <w:bottom w:type="dxa" w:w="120"/>
              <w:right w:type="dxa" w:w="200"/>
            </w:tcMar>
          </w:tcPr>
          <w:p>
            <w:pPr>
              <w:jc w:val="center"/>
            </w:pPr>
            <w:r>
              <w:rPr>
                <w:rFonts w:ascii="Arial" w:cs="Arial" w:eastAsia="Arial" w:hAnsi="Arial"/>
                <w:b/>
                <w:bCs/>
                <w:color w:val="ADBCD4"/>
                <w:sz w:val="20"/>
                <w:szCs w:val="20"/>
              </w:rPr>
              <w:t xml:space="preserve">PROJE BAŞLIĞI</w:t>
            </w:r>
          </w:p>
        </w:tc>
      </w:tr>
      <w:tr>
        <w:tc>
          <w:tcPr>
            <w:tcW w:type="dxa" w:w="9360"/>
            <w:tcBorders>
              <w:top w:val="single" w:color="1e3a5f" w:sz="6"/>
              <w:left w:val="single" w:color="1e3a5f" w:sz="6"/>
              <w:bottom w:val="single" w:color="1e3a5f" w:sz="6"/>
              <w:right w:val="single" w:color="1e3a5f" w:sz="6"/>
            </w:tcBorders>
            <w:shd w:fill="EBF5FF" w:val="clear"/>
            <w:tcMar>
              <w:top w:type="dxa" w:w="160"/>
              <w:left w:type="dxa" w:w="200"/>
              <w:bottom w:type="dxa" w:w="160"/>
              <w:right w:type="dxa" w:w="200"/>
            </w:tcMar>
          </w:tcPr>
          <w:p>
            <w:pPr>
              <w:jc w:val="center"/>
            </w:pPr>
            <w:r>
              <w:rPr>
                <w:rFonts w:ascii="Arial" w:cs="Arial" w:eastAsia="Arial" w:hAnsi="Arial"/>
                <w:b/>
                <w:bCs/>
                <w:color w:val="1e3a5f"/>
                <w:sz w:val="28"/>
                <w:szCs w:val="28"/>
              </w:rPr>
              <w:t xml:space="preserve">Makine Öğrenmesi Tabanlı Kripto Para Alım-Satım ve</w:t>
            </w:r>
            <w:r>
              <w:rPr>
                <w:rFonts w:ascii="Arial" w:cs="Arial" w:eastAsia="Arial" w:hAnsi="Arial"/>
                <w:b/>
                <w:bCs/>
                <w:color w:val="1e3a5f"/>
                <w:sz w:val="28"/>
                <w:szCs w:val="28"/>
              </w:rPr>
              <w:br/>
              <w:t xml:space="preserve">Algoritmik Trading Stratejisi Geliştirme Botu</w:t>
            </w:r>
          </w:p>
        </w:tc>
      </w:tr>
    </w:tbl>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6"/>
              <w:left w:val="single" w:color="1e3a5f" w:sz="6"/>
              <w:bottom w:val="single" w:color="1e3a5f" w:sz="6"/>
              <w:right w:val="single" w:color="1e3a5f" w:sz="6"/>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Öğrenci No</w:t>
            </w:r>
          </w:p>
        </w:tc>
        <w:tc>
          <w:tcPr>
            <w:tcW w:type="dxa" w:w="6560"/>
            <w:tcBorders>
              <w:top w:val="single" w:color="1e3a5f" w:sz="6"/>
              <w:left w:val="single" w:color="1e3a5f" w:sz="6"/>
              <w:bottom w:val="single" w:color="1e3a5f" w:sz="6"/>
              <w:right w:val="single" w:color="1e3a5f" w:sz="6"/>
            </w:tcBorders>
            <w:tcMar>
              <w:top w:type="dxa" w:w="100"/>
              <w:left w:type="dxa" w:w="160"/>
              <w:bottom w:type="dxa" w:w="100"/>
              <w:right w:type="dxa" w:w="160"/>
            </w:tcMar>
          </w:tcPr>
          <w:p>
            <w:r>
              <w:rPr>
                <w:rFonts w:ascii="Arial" w:cs="Arial" w:eastAsia="Arial" w:hAnsi="Arial"/>
                <w:color w:val="1e3a5f"/>
                <w:sz w:val="22"/>
                <w:szCs w:val="22"/>
              </w:rPr>
              <w:t xml:space="preserve">23100011075</w:t>
            </w:r>
          </w:p>
        </w:tc>
      </w:tr>
      <w:tr>
        <w:tc>
          <w:tcPr>
            <w:tcW w:type="dxa" w:w="2800"/>
            <w:tcBorders>
              <w:top w:val="single" w:color="1e3a5f" w:sz="6"/>
              <w:left w:val="single" w:color="1e3a5f" w:sz="6"/>
              <w:bottom w:val="single" w:color="1e3a5f" w:sz="6"/>
              <w:right w:val="single" w:color="1e3a5f" w:sz="6"/>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Öğrenci Adı Soyadı</w:t>
            </w:r>
          </w:p>
        </w:tc>
        <w:tc>
          <w:tcPr>
            <w:tcW w:type="dxa" w:w="6560"/>
            <w:tcBorders>
              <w:top w:val="single" w:color="1e3a5f" w:sz="6"/>
              <w:left w:val="single" w:color="1e3a5f" w:sz="6"/>
              <w:bottom w:val="single" w:color="1e3a5f" w:sz="6"/>
              <w:right w:val="single" w:color="1e3a5f" w:sz="6"/>
            </w:tcBorders>
            <w:tcMar>
              <w:top w:type="dxa" w:w="100"/>
              <w:left w:type="dxa" w:w="160"/>
              <w:bottom w:type="dxa" w:w="100"/>
              <w:right w:type="dxa" w:w="160"/>
            </w:tcMar>
          </w:tcPr>
          <w:p>
            <w:r>
              <w:rPr>
                <w:rFonts w:ascii="Arial" w:cs="Arial" w:eastAsia="Arial" w:hAnsi="Arial"/>
                <w:color w:val="1e3a5f"/>
                <w:sz w:val="22"/>
                <w:szCs w:val="22"/>
              </w:rPr>
              <w:t xml:space="preserve">Ahmet Yılmaz</w:t>
            </w:r>
          </w:p>
        </w:tc>
      </w:tr>
      <w:tr>
        <w:tc>
          <w:tcPr>
            <w:tcW w:type="dxa" w:w="2800"/>
            <w:tcBorders>
              <w:top w:val="single" w:color="1e3a5f" w:sz="6"/>
              <w:left w:val="single" w:color="1e3a5f" w:sz="6"/>
              <w:bottom w:val="single" w:color="1e3a5f" w:sz="6"/>
              <w:right w:val="single" w:color="1e3a5f" w:sz="6"/>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Danışman</w:t>
            </w:r>
          </w:p>
        </w:tc>
        <w:tc>
          <w:tcPr>
            <w:tcW w:type="dxa" w:w="6560"/>
            <w:tcBorders>
              <w:top w:val="single" w:color="1e3a5f" w:sz="6"/>
              <w:left w:val="single" w:color="1e3a5f" w:sz="6"/>
              <w:bottom w:val="single" w:color="1e3a5f" w:sz="6"/>
              <w:right w:val="single" w:color="1e3a5f" w:sz="6"/>
            </w:tcBorders>
            <w:tcMar>
              <w:top w:type="dxa" w:w="100"/>
              <w:left w:type="dxa" w:w="160"/>
              <w:bottom w:type="dxa" w:w="100"/>
              <w:right w:type="dxa" w:w="160"/>
            </w:tcMar>
          </w:tcPr>
          <w:p>
            <w:r>
              <w:rPr>
                <w:rFonts w:ascii="Arial" w:cs="Arial" w:eastAsia="Arial" w:hAnsi="Arial"/>
                <w:color w:val="1e3a5f"/>
                <w:sz w:val="22"/>
                <w:szCs w:val="22"/>
              </w:rPr>
              <w:t xml:space="preserve">Doç. Dr. Muhammed Karaaltun</w:t>
            </w:r>
          </w:p>
        </w:tc>
      </w:tr>
      <w:tr>
        <w:tc>
          <w:tcPr>
            <w:tcW w:type="dxa" w:w="2800"/>
            <w:tcBorders>
              <w:top w:val="single" w:color="1e3a5f" w:sz="6"/>
              <w:left w:val="single" w:color="1e3a5f" w:sz="6"/>
              <w:bottom w:val="single" w:color="1e3a5f" w:sz="6"/>
              <w:right w:val="single" w:color="1e3a5f" w:sz="6"/>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Tarih</w:t>
            </w:r>
          </w:p>
        </w:tc>
        <w:tc>
          <w:tcPr>
            <w:tcW w:type="dxa" w:w="6560"/>
            <w:tcBorders>
              <w:top w:val="single" w:color="1e3a5f" w:sz="6"/>
              <w:left w:val="single" w:color="1e3a5f" w:sz="6"/>
              <w:bottom w:val="single" w:color="1e3a5f" w:sz="6"/>
              <w:right w:val="single" w:color="1e3a5f" w:sz="6"/>
            </w:tcBorders>
            <w:tcMar>
              <w:top w:type="dxa" w:w="100"/>
              <w:left w:type="dxa" w:w="160"/>
              <w:bottom w:type="dxa" w:w="100"/>
              <w:right w:type="dxa" w:w="160"/>
            </w:tcMar>
          </w:tcPr>
          <w:p>
            <w:r>
              <w:rPr>
                <w:rFonts w:ascii="Arial" w:cs="Arial" w:eastAsia="Arial" w:hAnsi="Arial"/>
                <w:color w:val="1e3a5f"/>
                <w:sz w:val="22"/>
                <w:szCs w:val="22"/>
              </w:rPr>
              <w:t xml:space="preserve">Şubat 2026 — Konya</w:t>
            </w:r>
          </w:p>
        </w:tc>
      </w:tr>
    </w:tbl>
    <w:p>
      <w:r>
        <w:br w:type="page"/>
      </w:r>
    </w:p>
    <w:p>
      <w:pPr>
        <w:spacing w:after="0" w:before="360"/>
      </w:pPr>
      <w:r>
        <w:rPr>
          <w:rFonts w:ascii="Arial" w:cs="Arial" w:eastAsia="Arial" w:hAnsi="Arial"/>
          <w:b/>
          <w:bCs/>
          <w:color w:val="1e3a5f"/>
          <w:sz w:val="28"/>
          <w:szCs w:val="28"/>
        </w:rPr>
        <w:t xml:space="preserve">1.  Proje Konusunun Önemi ve Özgün Değeri</w:t>
      </w:r>
    </w:p>
    <w:p>
      <w:pPr>
        <w:pBdr>
          <w:bottom w:val="single" w:color="1A56DB" w:sz="6" w:space="1"/>
        </w:pBdr>
        <w:spacing w:after="200" w:before="0"/>
      </w:pPr>
    </w:p>
    <w:p>
      <w:pPr>
        <w:spacing w:after="80"/>
      </w:pPr>
      <w:r>
        <w:rPr>
          <w:rFonts w:ascii="Arial" w:cs="Arial" w:eastAsia="Arial" w:hAnsi="Arial"/>
          <w:b/>
          <w:bCs/>
          <w:color w:val="1e3a5f"/>
          <w:sz w:val="24"/>
          <w:szCs w:val="24"/>
        </w:rPr>
        <w:t xml:space="preserve">Kripto Para Trading ve Algoritmik Trading Nedir?</w:t>
      </w:r>
    </w:p>
    <w:p>
      <w:pPr>
        <w:spacing w:after="140"/>
      </w:pPr>
      <w:r>
        <w:rPr>
          <w:rFonts w:ascii="Arial" w:cs="Arial" w:eastAsia="Arial" w:hAnsi="Arial"/>
          <w:b w:val="false"/>
          <w:bCs w:val="false"/>
          <w:i w:val="false"/>
          <w:iCs w:val="false"/>
          <w:color w:val="374151"/>
          <w:sz w:val="22"/>
          <w:szCs w:val="22"/>
        </w:rPr>
        <w:t xml:space="preserve">Kripto para piyasaları, geleneksel finansal piyasalardan farklı olarak 7/24 kesintisiz işlem görmekte ve yüksek volatilite özelliği taşımaktadır. Bitcoin, Ethereum gibi dijital varlıkların toplam piyasa değeri trilyon dolarları aşmış durumdadır. Bu piyasalarda başarılı olmak için hızlı karar verme, sürekli piyasa takibi ve disiplinli risk yönetimi gerekmektedir. Ancak insan faktörü; duygusal kararlar, yorgunluk ve piyasayı 7/24 takip edememe gibi sınırlamalar nedeniyle manuel trading'de dezavantajlar yaratmaktadır.</w:t>
      </w:r>
    </w:p>
    <w:p>
      <w:pPr>
        <w:spacing w:after="80" w:before="0"/>
      </w:pPr>
    </w:p>
    <w:p>
      <w:pPr>
        <w:spacing w:after="80"/>
      </w:pPr>
      <w:r>
        <w:rPr>
          <w:rFonts w:ascii="Arial" w:cs="Arial" w:eastAsia="Arial" w:hAnsi="Arial"/>
          <w:b/>
          <w:bCs/>
          <w:color w:val="1e3a5f"/>
          <w:sz w:val="24"/>
          <w:szCs w:val="24"/>
        </w:rPr>
        <w:t xml:space="preserve">Özgün Değer</w:t>
      </w:r>
    </w:p>
    <w:p>
      <w:pPr>
        <w:spacing w:after="140"/>
      </w:pPr>
      <w:r>
        <w:rPr>
          <w:rFonts w:ascii="Arial" w:cs="Arial" w:eastAsia="Arial" w:hAnsi="Arial"/>
          <w:b w:val="false"/>
          <w:bCs w:val="false"/>
          <w:i w:val="false"/>
          <w:iCs w:val="false"/>
          <w:color w:val="374151"/>
          <w:sz w:val="22"/>
          <w:szCs w:val="22"/>
        </w:rPr>
        <w:t xml:space="preserve">Finansal piyasalarda yapay zeka ve makine öğrenmesi uygulamaları son yıllarda hızla yaygınlaşmaktadır. Hedge fonlar, yatırım bankaları ve bireysel yatırımcılar algoritmik trading sistemlerini aktif olarak kullanmaktadır. Ancak kripto para piyasalarının görece yeni olması, yüksek volatilitesi ve 7/24 işlem görmesi, bu piyasalar için özel olarak tasarlanmış trading sistemlerine ihtiyaç yaratmaktadır. Bu proje; güncel makine öğrenmesi algoritmaları, teknik analiz göstergeleri ve risk yönetimi bileşenlerini bir araya getirerek bu ihtiyaca özgün bir çözüm sunmayı hedeflemektedir.</w:t>
      </w:r>
    </w:p>
    <w:p>
      <w:pPr>
        <w:spacing w:after="100" w:before="0"/>
      </w:pPr>
    </w:p>
    <w:p>
      <w:pPr>
        <w:spacing w:after="0" w:before="360"/>
      </w:pPr>
      <w:r>
        <w:rPr>
          <w:rFonts w:ascii="Arial" w:cs="Arial" w:eastAsia="Arial" w:hAnsi="Arial"/>
          <w:b/>
          <w:bCs/>
          <w:color w:val="1e3a5f"/>
          <w:sz w:val="28"/>
          <w:szCs w:val="28"/>
        </w:rPr>
        <w:t xml:space="preserve">2.  Projenin Amacı ve Hedefi</w:t>
      </w:r>
    </w:p>
    <w:p>
      <w:pPr>
        <w:pBdr>
          <w:bottom w:val="single" w:color="1A56DB" w:sz="6" w:space="1"/>
        </w:pBdr>
        <w:spacing w:after="200" w:before="0"/>
      </w:pPr>
    </w:p>
    <w:p>
      <w:pPr>
        <w:spacing w:after="140"/>
      </w:pPr>
      <w:r>
        <w:rPr>
          <w:rFonts w:ascii="Arial" w:cs="Arial" w:eastAsia="Arial" w:hAnsi="Arial"/>
          <w:b w:val="false"/>
          <w:bCs w:val="false"/>
          <w:i w:val="false"/>
          <w:iCs w:val="false"/>
          <w:color w:val="374151"/>
          <w:sz w:val="22"/>
          <w:szCs w:val="22"/>
        </w:rPr>
        <w:t xml:space="preserve">Bu projenin temel amacı, makine öğrenmesi ve derin öğrenme algoritmalarını kullanarak kripto para piyasalarında otomatik alım-satım yapabilen, farklı trading stratejilerini test edip karşılaştırabilen ve risk yönetimi özelliklerine sahip bir trading botu ve platform geliştirmektir.</w:t>
      </w:r>
    </w:p>
    <w:p>
      <w:pPr>
        <w:spacing w:after="80" w:before="0"/>
      </w:pPr>
    </w:p>
    <w:p>
      <w:pPr>
        <w:pStyle w:val="ListParagraph"/>
        <w:numPr>
          <w:ilvl w:val="0"/>
          <w:numId w:val="2"/>
        </w:numPr>
        <w:spacing w:after="80"/>
      </w:pPr>
      <w:r>
        <w:rPr>
          <w:rFonts w:ascii="Arial" w:cs="Arial" w:eastAsia="Arial" w:hAnsi="Arial"/>
          <w:color w:val="374151"/>
          <w:sz w:val="22"/>
          <w:szCs w:val="22"/>
        </w:rPr>
        <w:t xml:space="preserve">Binance ve CoinGecko API'leri aracılığıyla gerçek zamanlı ve tarihsel kripto para verisi toplamak</w:t>
      </w:r>
    </w:p>
    <w:p>
      <w:pPr>
        <w:pStyle w:val="ListParagraph"/>
        <w:numPr>
          <w:ilvl w:val="0"/>
          <w:numId w:val="2"/>
        </w:numPr>
        <w:spacing w:after="80"/>
      </w:pPr>
      <w:r>
        <w:rPr>
          <w:rFonts w:ascii="Arial" w:cs="Arial" w:eastAsia="Arial" w:hAnsi="Arial"/>
          <w:color w:val="374151"/>
          <w:sz w:val="22"/>
          <w:szCs w:val="22"/>
        </w:rPr>
        <w:t xml:space="preserve">RSI, MACD, Bollinger Bands gibi teknik göstergeleri otomatik olarak hesaplamak ve görselleştirmek</w:t>
      </w:r>
    </w:p>
    <w:p>
      <w:pPr>
        <w:pStyle w:val="ListParagraph"/>
        <w:numPr>
          <w:ilvl w:val="0"/>
          <w:numId w:val="2"/>
        </w:numPr>
        <w:spacing w:after="80"/>
      </w:pPr>
      <w:r>
        <w:rPr>
          <w:rFonts w:ascii="Arial" w:cs="Arial" w:eastAsia="Arial" w:hAnsi="Arial"/>
          <w:color w:val="374151"/>
          <w:sz w:val="22"/>
          <w:szCs w:val="22"/>
        </w:rPr>
        <w:t xml:space="preserve">LSTM derin öğrenme modeli ile fiyat tahmini yapmak</w:t>
      </w:r>
    </w:p>
    <w:p>
      <w:pPr>
        <w:pStyle w:val="ListParagraph"/>
        <w:numPr>
          <w:ilvl w:val="0"/>
          <w:numId w:val="2"/>
        </w:numPr>
        <w:spacing w:after="80"/>
      </w:pPr>
      <w:r>
        <w:rPr>
          <w:rFonts w:ascii="Arial" w:cs="Arial" w:eastAsia="Arial" w:hAnsi="Arial"/>
          <w:color w:val="374151"/>
          <w:sz w:val="22"/>
          <w:szCs w:val="22"/>
        </w:rPr>
        <w:t xml:space="preserve">Random Forest ve XGBoost ile BUY/SELL/HOLD sinyal sınıflandırması gerçekleştirmek</w:t>
      </w:r>
    </w:p>
    <w:p>
      <w:pPr>
        <w:pStyle w:val="ListParagraph"/>
        <w:numPr>
          <w:ilvl w:val="0"/>
          <w:numId w:val="2"/>
        </w:numPr>
        <w:spacing w:after="80"/>
      </w:pPr>
      <w:r>
        <w:rPr>
          <w:rFonts w:ascii="Arial" w:cs="Arial" w:eastAsia="Arial" w:hAnsi="Arial"/>
          <w:color w:val="374151"/>
          <w:sz w:val="22"/>
          <w:szCs w:val="22"/>
        </w:rPr>
        <w:t xml:space="preserve">Trend Following, Mean Reversion ve ML-Hybrid stratejilerini backtesting ile karşılaştırmak</w:t>
      </w:r>
    </w:p>
    <w:p>
      <w:pPr>
        <w:pStyle w:val="ListParagraph"/>
        <w:numPr>
          <w:ilvl w:val="0"/>
          <w:numId w:val="2"/>
        </w:numPr>
        <w:spacing w:after="80"/>
      </w:pPr>
      <w:r>
        <w:rPr>
          <w:rFonts w:ascii="Arial" w:cs="Arial" w:eastAsia="Arial" w:hAnsi="Arial"/>
          <w:color w:val="374151"/>
          <w:sz w:val="22"/>
          <w:szCs w:val="22"/>
        </w:rPr>
        <w:t xml:space="preserve">Stop-loss, position sizing ve maksimum drawdown limiti içeren risk yönetim sistemi kurmak</w:t>
      </w:r>
    </w:p>
    <w:p>
      <w:pPr>
        <w:pStyle w:val="ListParagraph"/>
        <w:numPr>
          <w:ilvl w:val="0"/>
          <w:numId w:val="2"/>
        </w:numPr>
        <w:spacing w:after="80"/>
      </w:pPr>
      <w:r>
        <w:rPr>
          <w:rFonts w:ascii="Arial" w:cs="Arial" w:eastAsia="Arial" w:hAnsi="Arial"/>
          <w:color w:val="374151"/>
          <w:sz w:val="22"/>
          <w:szCs w:val="22"/>
        </w:rPr>
        <w:t xml:space="preserve">Paper trading (simülasyon) modu ile canlıya geçmeden önce sistemi test etmek</w:t>
      </w:r>
    </w:p>
    <w:p>
      <w:pPr>
        <w:spacing w:after="100" w:before="0"/>
      </w:pPr>
    </w:p>
    <w:p>
      <w:pPr>
        <w:spacing w:after="0" w:before="360"/>
      </w:pPr>
      <w:r>
        <w:rPr>
          <w:rFonts w:ascii="Arial" w:cs="Arial" w:eastAsia="Arial" w:hAnsi="Arial"/>
          <w:b/>
          <w:bCs/>
          <w:color w:val="1e3a5f"/>
          <w:sz w:val="28"/>
          <w:szCs w:val="28"/>
        </w:rPr>
        <w:t xml:space="preserve">3.  Projenin İş-Zaman Çizelgesi</w:t>
      </w:r>
    </w:p>
    <w:p>
      <w:pPr>
        <w:pBdr>
          <w:bottom w:val="single" w:color="1A56DB" w:sz="6"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1000"/>
        <w:gridCol w:w="5000"/>
      </w:tblGrid>
      <w:tr>
        <w:trPr>
          <w:tblHeader/>
        </w:trPr>
        <w:tc>
          <w:tcPr>
            <w:tcW w:type="dxa" w:w="56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İP No</w:t>
            </w:r>
          </w:p>
        </w:tc>
        <w:tc>
          <w:tcPr>
            <w:tcW w:type="dxa" w:w="28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İş Paketinin Adı ve Hedefleri</w:t>
            </w:r>
          </w:p>
        </w:tc>
        <w:tc>
          <w:tcPr>
            <w:tcW w:type="dxa" w:w="10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Zaman
Aralığı</w:t>
            </w:r>
          </w:p>
        </w:tc>
        <w:tc>
          <w:tcPr>
            <w:tcW w:type="dxa" w:w="50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Başarı Ölçütü</w:t>
            </w:r>
          </w:p>
        </w:tc>
      </w:tr>
      <w:tr>
        <w:tc>
          <w:tcPr>
            <w:tcW w:type="dxa" w:w="560"/>
          </w:tcPr>
          <w:p>
            <w:r/>
            <w:r>
              <w:rPr>
                <w:rFonts w:ascii="Calibri" w:hAnsi="Calibri"/>
                <w:b w:val="0"/>
                <w:sz w:val="20"/>
              </w:rPr>
              <w:t>1</w:t>
            </w:r>
          </w:p>
        </w:tc>
        <w:tc>
          <w:tcPr>
            <w:tcW w:type="dxa" w:w="2800"/>
          </w:tcPr>
          <w:p>
            <w:r/>
            <w:r>
              <w:rPr>
                <w:rFonts w:ascii="Calibri" w:hAnsi="Calibri"/>
                <w:b w:val="0"/>
                <w:sz w:val="20"/>
              </w:rPr>
              <w:t>Kaynak Araştırması ve Benzer Proje Analizi</w:t>
              <w:br/>
              <w:t>Akademik literatür taraması yapılarak kripto para piyasalarında makine öğrenmesi ve derin öğrenme tabanlı alım-satım sistemlerine yönelik güncel çalışmalar incelenmiştir. LSTM, GRU, XGBoost, Random Forest ve Reinforcement Learning yaklaşımlarını kullanan benzer projelerin güçlü ve zayıf yönleri karşılaştırmalı olarak analiz edilmiştir.</w:t>
            </w:r>
          </w:p>
        </w:tc>
        <w:tc>
          <w:tcPr>
            <w:tcW w:type="dxa" w:w="1000"/>
          </w:tcPr>
          <w:p>
            <w:r/>
            <w:r>
              <w:rPr>
                <w:rFonts w:ascii="Calibri" w:hAnsi="Calibri"/>
                <w:b w:val="0"/>
                <w:sz w:val="20"/>
              </w:rPr>
              <w:t>1. Hafta</w:t>
            </w:r>
          </w:p>
        </w:tc>
        <w:tc>
          <w:tcPr>
            <w:tcW w:type="dxa" w:w="5000"/>
          </w:tcPr>
          <w:p>
            <w:r/>
            <w:r>
              <w:rPr>
                <w:rFonts w:ascii="Calibri" w:hAnsi="Calibri"/>
                <w:b w:val="0"/>
                <w:sz w:val="20"/>
              </w:rPr>
              <w:t>Literatürde kullanılan başlıca ML/DL modellerinin (LSTM, GRU, XGBoost, Random Forest, PPO) ve veri kaynaklarının (Binance, CoinGecko, yfinance API) belirlenmesi. En az 5 benzer akademik çalışmanın karşılaştırmalı analiz raporu hazırlanması. Projenin 14 haftalık iş planının netleştirilmesi.</w:t>
              <w:br/>
              <w:t>Projenin başarısına katkısı: %5</w:t>
            </w:r>
          </w:p>
        </w:tc>
      </w:tr>
      <w:tr>
        <w:tc>
          <w:tcPr>
            <w:tcW w:type="dxa" w:w="560"/>
          </w:tcPr>
          <w:p>
            <w:r/>
            <w:r>
              <w:rPr>
                <w:rFonts w:ascii="Calibri" w:hAnsi="Calibri"/>
                <w:b w:val="0"/>
                <w:sz w:val="20"/>
              </w:rPr>
              <w:t>2</w:t>
            </w:r>
          </w:p>
        </w:tc>
        <w:tc>
          <w:tcPr>
            <w:tcW w:type="dxa" w:w="2800"/>
          </w:tcPr>
          <w:p>
            <w:r/>
            <w:r>
              <w:rPr>
                <w:rFonts w:ascii="Calibri" w:hAnsi="Calibri"/>
                <w:b w:val="0"/>
                <w:sz w:val="20"/>
              </w:rPr>
              <w:t>Veri Kümesinin Oluşturulması — Veri Toplama ve Önişleme</w:t>
              <w:br/>
              <w:t>Binance ve CoinGecko API'leri ile BTC-USD, ETH-USD ve SOL-USD için tarihsel ve gerçek zamanlı OHLCV verisi toplanmıştır. SQLite veritabanı şeması tasarlanmış ve veri saklama mekanizması kurulmuştur. Eksik ve hatalı veriler tespit edilerek veri temizleme, normalizasyon ve MinMaxScaler ile ölçekleme işlemleri tamamlanmıştır.</w:t>
            </w:r>
          </w:p>
        </w:tc>
        <w:tc>
          <w:tcPr>
            <w:tcW w:type="dxa" w:w="1000"/>
          </w:tcPr>
          <w:p>
            <w:r/>
            <w:r>
              <w:rPr>
                <w:rFonts w:ascii="Calibri" w:hAnsi="Calibri"/>
                <w:b w:val="0"/>
                <w:sz w:val="20"/>
              </w:rPr>
              <w:t>2–3. Hafta</w:t>
            </w:r>
          </w:p>
        </w:tc>
        <w:tc>
          <w:tcPr>
            <w:tcW w:type="dxa" w:w="5000"/>
          </w:tcPr>
          <w:p>
            <w:r/>
            <w:r>
              <w:rPr>
                <w:rFonts w:ascii="Calibri" w:hAnsi="Calibri"/>
                <w:b w:val="0"/>
                <w:sz w:val="20"/>
              </w:rPr>
              <w:t>BTC-USD, ETH-USD ve SOL-USD için en az 2 yıllık OHLCV verisi indirilmiş olmalıdır. Eksik değer oranı %1'in altında tutulmalı, anomaliler tespit edilip raporlanmalıdır. SQLite veritabanı şeması oluşturulmuş, veri kalite raporu hazırlanmış olmalıdır.</w:t>
              <w:br/>
              <w:t>Projenin başarısına katkısı: %10</w:t>
            </w:r>
          </w:p>
        </w:tc>
      </w:tr>
      <w:tr>
        <w:tc>
          <w:tcPr>
            <w:tcW w:type="dxa" w:w="560"/>
          </w:tcPr>
          <w:p>
            <w:r/>
            <w:r>
              <w:rPr>
                <w:rFonts w:ascii="Calibri" w:hAnsi="Calibri"/>
                <w:b w:val="0"/>
                <w:sz w:val="20"/>
              </w:rPr>
              <w:t>3</w:t>
            </w:r>
          </w:p>
        </w:tc>
        <w:tc>
          <w:tcPr>
            <w:tcW w:type="dxa" w:w="2800"/>
          </w:tcPr>
          <w:p>
            <w:r/>
            <w:r>
              <w:rPr>
                <w:rFonts w:ascii="Calibri" w:hAnsi="Calibri"/>
                <w:b w:val="0"/>
                <w:sz w:val="20"/>
              </w:rPr>
              <w:t>Veri Kümesinin Oluşturulması — Teknik Gösterge Hesaplama ve Özellik Mühendisliği</w:t>
              <w:br/>
              <w:t>RSI, MACD, Bollinger Bands, EMA, SMA, ATR ve VWAP teknik göstergeleri hesaplanmıştır. RSI momentum, MACD histogram değişimi, Bollinger Band genişliği, rolling window istatistikleri (7/14/30 gün), volatilite (ATR yüzdesi, Garman-Klass) ve hacim bazlı özellikler (OBV, volume ratio, volume momentum) çıkarılmıştır. Korelasyon analizi ve feature importance analiziyle düşük katkılı özellikler elenmiştir.</w:t>
            </w:r>
          </w:p>
        </w:tc>
        <w:tc>
          <w:tcPr>
            <w:tcW w:type="dxa" w:w="1000"/>
          </w:tcPr>
          <w:p>
            <w:r/>
            <w:r>
              <w:rPr>
                <w:rFonts w:ascii="Calibri" w:hAnsi="Calibri"/>
                <w:b w:val="0"/>
                <w:sz w:val="20"/>
              </w:rPr>
              <w:t>4–5. Hafta</w:t>
            </w:r>
          </w:p>
        </w:tc>
        <w:tc>
          <w:tcPr>
            <w:tcW w:type="dxa" w:w="5000"/>
          </w:tcPr>
          <w:p>
            <w:r/>
            <w:r>
              <w:rPr>
                <w:rFonts w:ascii="Calibri" w:hAnsi="Calibri"/>
                <w:b w:val="0"/>
                <w:sz w:val="20"/>
              </w:rPr>
              <w:t>Tüm teknik göstergeler hesaplanmış ve veritabanına kaydedilmiş olmalıdır. En az 40 anlamlı özellik üretilmiş, feature importance analizi (XGBoost importance) yapılarak modele hazır veri matrisi oluşturulmuş olmalıdır. Veriler eğitim/doğrulama/test olarak bölünmüş olmalıdır.</w:t>
              <w:br/>
              <w:t>Projenin başarısına katkısı: %10</w:t>
            </w:r>
          </w:p>
        </w:tc>
      </w:tr>
      <w:tr>
        <w:tc>
          <w:tcPr>
            <w:tcW w:type="dxa" w:w="560"/>
          </w:tcPr>
          <w:p>
            <w:r/>
            <w:r>
              <w:rPr>
                <w:rFonts w:ascii="Calibri" w:hAnsi="Calibri"/>
                <w:b w:val="0"/>
                <w:sz w:val="20"/>
              </w:rPr>
              <w:t>4</w:t>
            </w:r>
          </w:p>
        </w:tc>
        <w:tc>
          <w:tcPr>
            <w:tcW w:type="dxa" w:w="2800"/>
          </w:tcPr>
          <w:p>
            <w:r/>
            <w:r>
              <w:rPr>
                <w:rFonts w:ascii="Calibri" w:hAnsi="Calibri"/>
                <w:b w:val="0"/>
                <w:sz w:val="20"/>
              </w:rPr>
              <w:t>Yapay Zeka Modelinin Seçimi — Derin Öğrenme Modelleri (LSTM ve GRU)</w:t>
              <w:br/>
              <w:t>Zaman serisi fiyat tahmini için LSTM (Long Short-Term Memory) ve GRU (Gated Recurrent Unit) derin öğrenme modelleri geliştirilmiştir. Çok katmanlı mimariler tasarlanmış, dropout ve batch normalization teknikleriyle overfitting önlenmiştir. Early stopping mekanizması ile model eğitimi optimize edilmiştir. BTC-USD, ETH-USD ve SOL-USD için ayrı ayrı model eğitimi gerçekleştirilmiştir.</w:t>
            </w:r>
          </w:p>
        </w:tc>
        <w:tc>
          <w:tcPr>
            <w:tcW w:type="dxa" w:w="1000"/>
          </w:tcPr>
          <w:p>
            <w:r/>
            <w:r>
              <w:rPr>
                <w:rFonts w:ascii="Calibri" w:hAnsi="Calibri"/>
                <w:b w:val="0"/>
                <w:sz w:val="20"/>
              </w:rPr>
              <w:t>6–7. Hafta</w:t>
            </w:r>
          </w:p>
        </w:tc>
        <w:tc>
          <w:tcPr>
            <w:tcW w:type="dxa" w:w="5000"/>
          </w:tcPr>
          <w:p>
            <w:r/>
            <w:r>
              <w:rPr>
                <w:rFonts w:ascii="Calibri" w:hAnsi="Calibri"/>
                <w:b w:val="0"/>
                <w:sz w:val="20"/>
              </w:rPr>
              <w:t>LSTM ve GRU modelleri geliştirilip eğitilmiş olmalıdır. Doğrulama kaybı stabilleşmiş, overfitting early stopping ile engellenmiş olmalıdır. MSE, MAE ve RMSE metrikleri ile model performansları raporlanmış ve karşılaştırılmış olmalıdır.</w:t>
              <w:br/>
              <w:t>Projenin başarısına katkısı: %15</w:t>
            </w:r>
          </w:p>
        </w:tc>
      </w:tr>
      <w:tr>
        <w:tc>
          <w:tcPr>
            <w:tcW w:type="dxa" w:w="560"/>
          </w:tcPr>
          <w:p>
            <w:r/>
            <w:r>
              <w:rPr>
                <w:rFonts w:ascii="Calibri" w:hAnsi="Calibri"/>
                <w:b w:val="0"/>
                <w:sz w:val="20"/>
              </w:rPr>
              <w:t>5</w:t>
            </w:r>
          </w:p>
        </w:tc>
        <w:tc>
          <w:tcPr>
            <w:tcW w:type="dxa" w:w="2800"/>
          </w:tcPr>
          <w:p>
            <w:r/>
            <w:r>
              <w:rPr>
                <w:rFonts w:ascii="Calibri" w:hAnsi="Calibri"/>
                <w:b w:val="0"/>
                <w:sz w:val="20"/>
              </w:rPr>
              <w:t>Ara Değerlendirme (Vize)</w:t>
              <w:br/>
              <w:t>Projenin ilk 7 haftalık sürecinde gerçekleştirilen çalışmaların kapsamlı değerlendirilmesi. Literatür taraması, veri toplama ve önişleme, teknik gösterge hesaplama, özellik mühendisliği ve derin öğrenme modellerinin (LSTM/GRU) geliştirilme süreçlerinin sunulması ve ara rapor teslimi.</w:t>
            </w:r>
          </w:p>
        </w:tc>
        <w:tc>
          <w:tcPr>
            <w:tcW w:type="dxa" w:w="1000"/>
          </w:tcPr>
          <w:p>
            <w:r/>
            <w:r>
              <w:rPr>
                <w:rFonts w:ascii="Calibri" w:hAnsi="Calibri"/>
                <w:b w:val="0"/>
                <w:sz w:val="20"/>
              </w:rPr>
              <w:t>8. Hafta</w:t>
              <w:br/>
              <w:t>(Vize)</w:t>
            </w:r>
          </w:p>
        </w:tc>
        <w:tc>
          <w:tcPr>
            <w:tcW w:type="dxa" w:w="5000"/>
          </w:tcPr>
          <w:p>
            <w:r/>
            <w:r>
              <w:rPr>
                <w:rFonts w:ascii="Calibri" w:hAnsi="Calibri"/>
                <w:b w:val="0"/>
                <w:sz w:val="20"/>
              </w:rPr>
              <w:t>Veri toplama, önişleme ve özellik mühendisliği aşamalarının tamamlanmış olması. LSTM ve GRU modellerinin eğitilmiş ve performans metriklerinin raporlanmış olması. Ara rapor ve sunum materyalinin hazırlanmış olması.</w:t>
              <w:br/>
              <w:t>Projenin başarısına katkısı: %5</w:t>
            </w:r>
          </w:p>
        </w:tc>
      </w:tr>
      <w:tr>
        <w:tc>
          <w:tcPr>
            <w:tcW w:type="dxa" w:w="560"/>
          </w:tcPr>
          <w:p>
            <w:r/>
            <w:r>
              <w:rPr>
                <w:rFonts w:ascii="Calibri" w:hAnsi="Calibri"/>
                <w:b w:val="0"/>
                <w:sz w:val="20"/>
              </w:rPr>
              <w:t>6</w:t>
            </w:r>
          </w:p>
        </w:tc>
        <w:tc>
          <w:tcPr>
            <w:tcW w:type="dxa" w:w="2800"/>
          </w:tcPr>
          <w:p>
            <w:r/>
            <w:r>
              <w:rPr>
                <w:rFonts w:ascii="Calibri" w:hAnsi="Calibri"/>
                <w:b w:val="0"/>
                <w:sz w:val="20"/>
              </w:rPr>
              <w:t>Yapay Zeka Modelinin Geliştirilmesi — Makine Öğrenmesi Sınıflandırma Modelleri</w:t>
              <w:br/>
              <w:t>Random Forest ve XGBoost modelleri kullanılarak BUY/SELL/HOLD sinyal sınıflandırması gerçekleştirilmiştir. Hiperparametre optimizasyonu, k-fold cross-validation ile model doğrulaması yapılmıştır. F1-score, precision, recall ve confusion matrix metrikleriyle model performansları değerlendirilmiştir.</w:t>
            </w:r>
          </w:p>
        </w:tc>
        <w:tc>
          <w:tcPr>
            <w:tcW w:type="dxa" w:w="1000"/>
          </w:tcPr>
          <w:p>
            <w:r/>
            <w:r>
              <w:rPr>
                <w:rFonts w:ascii="Calibri" w:hAnsi="Calibri"/>
                <w:b w:val="0"/>
                <w:sz w:val="20"/>
              </w:rPr>
              <w:t>9–10. Hafta</w:t>
            </w:r>
          </w:p>
        </w:tc>
        <w:tc>
          <w:tcPr>
            <w:tcW w:type="dxa" w:w="5000"/>
          </w:tcPr>
          <w:p>
            <w:r/>
            <w:r>
              <w:rPr>
                <w:rFonts w:ascii="Calibri" w:hAnsi="Calibri"/>
                <w:b w:val="0"/>
                <w:sz w:val="20"/>
              </w:rPr>
              <w:t>Random Forest ve XGBoost modelleri eğitilmiş olmalıdır. F1-score, confusion matrix ve classification report raporları hazırlanmış olmalıdır. Hiperparametre optimizasyonu tamamlanmış ve en iyi parametreler belgelenmiş olmalıdır.</w:t>
              <w:br/>
              <w:t>Projenin başarısına katkısı: %10</w:t>
            </w:r>
          </w:p>
        </w:tc>
      </w:tr>
      <w:tr>
        <w:tc>
          <w:tcPr>
            <w:tcW w:type="dxa" w:w="560"/>
          </w:tcPr>
          <w:p>
            <w:r/>
            <w:r>
              <w:rPr>
                <w:rFonts w:ascii="Calibri" w:hAnsi="Calibri"/>
                <w:b w:val="0"/>
                <w:sz w:val="20"/>
              </w:rPr>
              <w:t>7</w:t>
            </w:r>
          </w:p>
        </w:tc>
        <w:tc>
          <w:tcPr>
            <w:tcW w:type="dxa" w:w="2800"/>
          </w:tcPr>
          <w:p>
            <w:r/>
            <w:r>
              <w:rPr>
                <w:rFonts w:ascii="Calibri" w:hAnsi="Calibri"/>
                <w:b w:val="0"/>
                <w:sz w:val="20"/>
              </w:rPr>
              <w:t>Ensemble Meta-Model ve Pekiştirmeli Öğrenme Ajanı Geliştirilmesi</w:t>
              <w:br/>
              <w:t>Stacking yöntemiyle LSTM, GRU, Random Forest ve XGBoost modellerinin çıktılarını birleştiren Ensemble Meta-Model geliştirilmiştir. Ayrıca Deep Reinforcement Learning (PPO — Proximal Policy Optimization) algoritmasıyla otonom trading ajanı eğitilmiştir. Özel Gym ortamı tasarlanarak ajanın piyasa koşullarında karar alması sağlanmıştır.</w:t>
            </w:r>
          </w:p>
        </w:tc>
        <w:tc>
          <w:tcPr>
            <w:tcW w:type="dxa" w:w="1000"/>
          </w:tcPr>
          <w:p>
            <w:r/>
            <w:r>
              <w:rPr>
                <w:rFonts w:ascii="Calibri" w:hAnsi="Calibri"/>
                <w:b w:val="0"/>
                <w:sz w:val="20"/>
              </w:rPr>
              <w:t>11–12. Hafta</w:t>
            </w:r>
          </w:p>
        </w:tc>
        <w:tc>
          <w:tcPr>
            <w:tcW w:type="dxa" w:w="5000"/>
          </w:tcPr>
          <w:p>
            <w:r/>
            <w:r>
              <w:rPr>
                <w:rFonts w:ascii="Calibri" w:hAnsi="Calibri"/>
                <w:b w:val="0"/>
                <w:sz w:val="20"/>
              </w:rPr>
              <w:t>Ensemble meta-model entegre edilmiş ve performansı bireysel modellerin üzerinde çıkmış olmalıdır. PPO ajanı eğitilmiş, kümülatif getiri ve Sharpe oranı raporlanmış olmalıdır. Modellerin karşılaştırmalı performans analizi tamamlanmış olmalıdır.</w:t>
              <w:br/>
              <w:t>Projenin başarısına katkısı: %15</w:t>
            </w:r>
          </w:p>
        </w:tc>
      </w:tr>
      <w:tr>
        <w:tc>
          <w:tcPr>
            <w:tcW w:type="dxa" w:w="560"/>
          </w:tcPr>
          <w:p>
            <w:r/>
            <w:r>
              <w:rPr>
                <w:rFonts w:ascii="Calibri" w:hAnsi="Calibri"/>
                <w:b w:val="0"/>
                <w:sz w:val="20"/>
              </w:rPr>
              <w:t>8</w:t>
            </w:r>
          </w:p>
        </w:tc>
        <w:tc>
          <w:tcPr>
            <w:tcW w:type="dxa" w:w="2800"/>
          </w:tcPr>
          <w:p>
            <w:r/>
            <w:r>
              <w:rPr>
                <w:rFonts w:ascii="Calibri" w:hAnsi="Calibri"/>
                <w:b w:val="0"/>
                <w:sz w:val="20"/>
              </w:rPr>
              <w:t>Değerlendirme, Test ve Sistem Entegrasyonu</w:t>
              <w:br/>
              <w:t>Backtesting motoru ile tüm stratejilerin geçmiş veriler üzerinde test edilmesi. Sharpe oranı, maksimum drawdown, kazanma oranı (win rate) ve toplam getiri metrikleriyle performans karşılaştırması yapılmıştır. Tüm modüllerin (veri pipeline, modeller, ensemble, RL, backtester) uçtan uca entegrasyonu tamamlanmıştır. Matplotlib ve Plotly ile görselleştirme ve interaktif dashboard geliştirilmiştir.</w:t>
            </w:r>
          </w:p>
        </w:tc>
        <w:tc>
          <w:tcPr>
            <w:tcW w:type="dxa" w:w="1000"/>
          </w:tcPr>
          <w:p>
            <w:r/>
            <w:r>
              <w:rPr>
                <w:rFonts w:ascii="Calibri" w:hAnsi="Calibri"/>
                <w:b w:val="0"/>
                <w:sz w:val="20"/>
              </w:rPr>
              <w:t>13. Hafta</w:t>
            </w:r>
          </w:p>
        </w:tc>
        <w:tc>
          <w:tcPr>
            <w:tcW w:type="dxa" w:w="5000"/>
          </w:tcPr>
          <w:p>
            <w:r/>
            <w:r>
              <w:rPr>
                <w:rFonts w:ascii="Calibri" w:hAnsi="Calibri"/>
                <w:b w:val="0"/>
                <w:sz w:val="20"/>
              </w:rPr>
              <w:t>Tüm stratejiler için backtesting raporu üretilmiş ve karşılaştırılmış olmalıdır. Sharpe oranı, drawdown, win rate ve kümülatif getiri metrikleri raporlanmış olmalıdır. Sistem uçtan uca çalışır durumda olmalı, interaktif dashboard tamamlanmış olmalıdır.</w:t>
              <w:br/>
              <w:t>Projenin başarısına katkısı: %15</w:t>
            </w:r>
          </w:p>
        </w:tc>
      </w:tr>
      <w:tr>
        <w:tc>
          <w:tcPr>
            <w:tcW w:type="dxa" w:w="560"/>
          </w:tcPr>
          <w:p>
            <w:r/>
            <w:r>
              <w:rPr>
                <w:rFonts w:ascii="Calibri" w:hAnsi="Calibri"/>
                <w:b w:val="0"/>
                <w:sz w:val="20"/>
              </w:rPr>
              <w:t>9</w:t>
            </w:r>
          </w:p>
        </w:tc>
        <w:tc>
          <w:tcPr>
            <w:tcW w:type="dxa" w:w="2800"/>
          </w:tcPr>
          <w:p>
            <w:r/>
            <w:r>
              <w:rPr>
                <w:rFonts w:ascii="Calibri" w:hAnsi="Calibri"/>
                <w:b w:val="0"/>
                <w:sz w:val="20"/>
              </w:rPr>
              <w:t>Final Değerlendirmesi ve Proje Teslimi</w:t>
              <w:br/>
              <w:t>Projenin tüm aşamalarının kapsamlı sunumu ve değerlendirilmesi. Proje raporunun, teknik dokümantasyonun ve sunum materyalinin tamamlanması. Elde edilen sonuçların akademik çerçevede yorumlanması ve gelecek çalışma önerilerinin sunulması.</w:t>
            </w:r>
          </w:p>
        </w:tc>
        <w:tc>
          <w:tcPr>
            <w:tcW w:type="dxa" w:w="1000"/>
          </w:tcPr>
          <w:p>
            <w:r/>
            <w:r>
              <w:rPr>
                <w:rFonts w:ascii="Calibri" w:hAnsi="Calibri"/>
                <w:b w:val="0"/>
                <w:sz w:val="20"/>
              </w:rPr>
              <w:t>14. Hafta</w:t>
              <w:br/>
              <w:t>(Final)</w:t>
            </w:r>
          </w:p>
        </w:tc>
        <w:tc>
          <w:tcPr>
            <w:tcW w:type="dxa" w:w="5000"/>
          </w:tcPr>
          <w:p>
            <w:r/>
            <w:r>
              <w:rPr>
                <w:rFonts w:ascii="Calibri" w:hAnsi="Calibri"/>
                <w:b w:val="0"/>
                <w:sz w:val="20"/>
              </w:rPr>
              <w:t>Proje raporu, teknik dokümantasyon ve sunum materyali eksiksiz tamamlanmış olmalıdır. Tüm modellerin karşılaştırmalı sonuçları sunulmuş olmalıdır. Projenin gelecek çalışma önerileriyle birlikte akademik bir çerçevede değerlendirilmesi yapılmış olmalıdır.</w:t>
              <w:br/>
              <w:t>Projenin başarısına katkısı: %15</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6"/>
              <w:left w:val="single" w:color="1e3a5f" w:sz="6"/>
              <w:bottom w:val="single" w:color="1e3a5f" w:sz="6"/>
              <w:right w:val="single" w:color="1e3a5f" w:sz="6"/>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İş Paketi</w:t>
            </w:r>
          </w:p>
        </w:tc>
        <w:tc>
          <w:tcPr>
            <w:tcW w:type="dxa" w:w="4680"/>
            <w:tcBorders>
              <w:top w:val="single" w:color="1e3a5f" w:sz="6"/>
              <w:left w:val="single" w:color="1e3a5f" w:sz="6"/>
              <w:bottom w:val="single" w:color="1e3a5f" w:sz="6"/>
              <w:right w:val="single" w:color="1e3a5f" w:sz="6"/>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Başarıya Katkı</w:t>
            </w:r>
          </w:p>
        </w:tc>
      </w:tr>
      <w:tr>
        <w:tc>
          <w:tcPr>
            <w:tcW w:type="dxa" w:w="4680"/>
          </w:tcPr>
          <w:p>
            <w:r/>
            <w:r>
              <w:rPr>
                <w:rFonts w:ascii="Calibri" w:hAnsi="Calibri"/>
                <w:b w:val="0"/>
                <w:sz w:val="20"/>
              </w:rPr>
              <w:t>İP 1 — Kaynak Araştırması ve Benzer Proje Analizi</w:t>
            </w:r>
          </w:p>
        </w:tc>
        <w:tc>
          <w:tcPr>
            <w:tcW w:type="dxa" w:w="4680"/>
          </w:tcPr>
          <w:p>
            <w:r/>
            <w:r>
              <w:rPr>
                <w:rFonts w:ascii="Calibri" w:hAnsi="Calibri"/>
                <w:b w:val="0"/>
                <w:sz w:val="20"/>
              </w:rPr>
              <w:t>%5</w:t>
            </w:r>
          </w:p>
        </w:tc>
      </w:tr>
      <w:tr>
        <w:tc>
          <w:tcPr>
            <w:tcW w:type="dxa" w:w="4680"/>
          </w:tcPr>
          <w:p>
            <w:r/>
            <w:r>
              <w:rPr>
                <w:rFonts w:ascii="Calibri" w:hAnsi="Calibri"/>
                <w:b w:val="0"/>
                <w:sz w:val="20"/>
              </w:rPr>
              <w:t>İP 2 — Veri Toplama ve Önişleme</w:t>
            </w:r>
          </w:p>
        </w:tc>
        <w:tc>
          <w:tcPr>
            <w:tcW w:type="dxa" w:w="4680"/>
          </w:tcPr>
          <w:p>
            <w:r/>
            <w:r>
              <w:rPr>
                <w:rFonts w:ascii="Calibri" w:hAnsi="Calibri"/>
                <w:b w:val="0"/>
                <w:sz w:val="20"/>
              </w:rPr>
              <w:t>%10</w:t>
            </w:r>
          </w:p>
        </w:tc>
      </w:tr>
      <w:tr>
        <w:tc>
          <w:tcPr>
            <w:tcW w:type="dxa" w:w="4680"/>
          </w:tcPr>
          <w:p>
            <w:r/>
            <w:r>
              <w:rPr>
                <w:rFonts w:ascii="Calibri" w:hAnsi="Calibri"/>
                <w:b w:val="0"/>
                <w:sz w:val="20"/>
              </w:rPr>
              <w:t>İP 3 — Teknik Gösterge Hesaplama ve Özellik Mühendisliği</w:t>
            </w:r>
          </w:p>
        </w:tc>
        <w:tc>
          <w:tcPr>
            <w:tcW w:type="dxa" w:w="4680"/>
          </w:tcPr>
          <w:p>
            <w:r/>
            <w:r>
              <w:rPr>
                <w:rFonts w:ascii="Calibri" w:hAnsi="Calibri"/>
                <w:b w:val="0"/>
                <w:sz w:val="20"/>
              </w:rPr>
              <w:t>%10</w:t>
            </w:r>
          </w:p>
        </w:tc>
      </w:tr>
      <w:tr>
        <w:tc>
          <w:tcPr>
            <w:tcW w:type="dxa" w:w="4680"/>
          </w:tcPr>
          <w:p>
            <w:r/>
            <w:r>
              <w:rPr>
                <w:rFonts w:ascii="Calibri" w:hAnsi="Calibri"/>
                <w:b w:val="0"/>
                <w:sz w:val="20"/>
              </w:rPr>
              <w:t>İP 4 — Derin Öğrenme Modelleri (LSTM ve GRU)</w:t>
            </w:r>
          </w:p>
        </w:tc>
        <w:tc>
          <w:tcPr>
            <w:tcW w:type="dxa" w:w="4680"/>
          </w:tcPr>
          <w:p>
            <w:r/>
            <w:r>
              <w:rPr>
                <w:rFonts w:ascii="Calibri" w:hAnsi="Calibri"/>
                <w:b w:val="0"/>
                <w:sz w:val="20"/>
              </w:rPr>
              <w:t>%15</w:t>
            </w:r>
          </w:p>
        </w:tc>
      </w:tr>
      <w:tr>
        <w:tc>
          <w:tcPr>
            <w:tcW w:type="dxa" w:w="4680"/>
          </w:tcPr>
          <w:p>
            <w:r/>
            <w:r>
              <w:rPr>
                <w:rFonts w:ascii="Calibri" w:hAnsi="Calibri"/>
                <w:b w:val="0"/>
                <w:sz w:val="20"/>
              </w:rPr>
              <w:t>İP 5 — Ara Değerlendirme (Vize)</w:t>
            </w:r>
          </w:p>
        </w:tc>
        <w:tc>
          <w:tcPr>
            <w:tcW w:type="dxa" w:w="4680"/>
          </w:tcPr>
          <w:p>
            <w:r/>
            <w:r>
              <w:rPr>
                <w:rFonts w:ascii="Calibri" w:hAnsi="Calibri"/>
                <w:b w:val="0"/>
                <w:sz w:val="20"/>
              </w:rPr>
              <w:t>%5</w:t>
            </w:r>
          </w:p>
        </w:tc>
      </w:tr>
      <w:tr>
        <w:tc>
          <w:tcPr>
            <w:tcW w:type="dxa" w:w="4680"/>
          </w:tcPr>
          <w:p>
            <w:r/>
            <w:r>
              <w:rPr>
                <w:rFonts w:ascii="Calibri" w:hAnsi="Calibri"/>
                <w:b w:val="0"/>
                <w:sz w:val="20"/>
              </w:rPr>
              <w:t>İP 6 — Makine Öğrenmesi Sınıflandırma Modelleri</w:t>
            </w:r>
          </w:p>
        </w:tc>
        <w:tc>
          <w:tcPr>
            <w:tcW w:type="dxa" w:w="4680"/>
          </w:tcPr>
          <w:p>
            <w:r/>
            <w:r>
              <w:rPr>
                <w:rFonts w:ascii="Calibri" w:hAnsi="Calibri"/>
                <w:b w:val="0"/>
                <w:sz w:val="20"/>
              </w:rPr>
              <w:t>%10</w:t>
            </w:r>
          </w:p>
        </w:tc>
      </w:tr>
      <w:tr>
        <w:tc>
          <w:tcPr>
            <w:tcW w:type="dxa" w:w="4680"/>
          </w:tcPr>
          <w:p>
            <w:r/>
            <w:r>
              <w:rPr>
                <w:rFonts w:ascii="Calibri" w:hAnsi="Calibri"/>
                <w:b w:val="0"/>
                <w:sz w:val="20"/>
              </w:rPr>
              <w:t>İP 7 — Ensemble Meta-Model ve Pekiştirmeli Öğrenme</w:t>
            </w:r>
          </w:p>
        </w:tc>
        <w:tc>
          <w:tcPr>
            <w:tcW w:type="dxa" w:w="4680"/>
          </w:tcPr>
          <w:p>
            <w:r/>
            <w:r>
              <w:rPr>
                <w:rFonts w:ascii="Calibri" w:hAnsi="Calibri"/>
                <w:b w:val="0"/>
                <w:sz w:val="20"/>
              </w:rPr>
              <w:t>%15</w:t>
            </w:r>
          </w:p>
        </w:tc>
      </w:tr>
      <w:tr>
        <w:tc>
          <w:tcPr>
            <w:tcW w:type="dxa" w:w="4680"/>
          </w:tcPr>
          <w:p>
            <w:r/>
            <w:r>
              <w:rPr>
                <w:rFonts w:ascii="Calibri" w:hAnsi="Calibri"/>
                <w:b w:val="0"/>
                <w:sz w:val="20"/>
              </w:rPr>
              <w:t>İP 8 — Değerlendirme, Test ve Sistem Entegrasyonu</w:t>
            </w:r>
          </w:p>
        </w:tc>
        <w:tc>
          <w:tcPr>
            <w:tcW w:type="dxa" w:w="4680"/>
          </w:tcPr>
          <w:p>
            <w:r/>
            <w:r>
              <w:rPr>
                <w:rFonts w:ascii="Calibri" w:hAnsi="Calibri"/>
                <w:b w:val="0"/>
                <w:sz w:val="20"/>
              </w:rPr>
              <w:t>%15</w:t>
            </w:r>
          </w:p>
        </w:tc>
      </w:tr>
      <w:tr>
        <w:tc>
          <w:tcPr>
            <w:tcW w:type="dxa" w:w="4680"/>
          </w:tcPr>
          <w:p>
            <w:r/>
            <w:r>
              <w:rPr>
                <w:rFonts w:ascii="Calibri" w:hAnsi="Calibri"/>
                <w:b w:val="0"/>
                <w:sz w:val="20"/>
              </w:rPr>
              <w:t>İP 9 — Final Değerlendirmesi ve Proje Teslimi</w:t>
            </w:r>
          </w:p>
        </w:tc>
        <w:tc>
          <w:tcPr>
            <w:tcW w:type="dxa" w:w="4680"/>
          </w:tcPr>
          <w:p>
            <w:r/>
            <w:r>
              <w:rPr>
                <w:rFonts w:ascii="Calibri" w:hAnsi="Calibri"/>
                <w:b w:val="0"/>
                <w:sz w:val="20"/>
              </w:rPr>
              <w:t>%15</w:t>
            </w:r>
          </w:p>
        </w:tc>
      </w:tr>
    </w:tbl>
    <w:p>
      <w:pPr>
        <w:spacing w:after="100" w:before="0"/>
      </w:pPr>
    </w:p>
    <w:p>
      <w:r>
        <w:br w:type="page"/>
      </w:r>
    </w:p>
    <w:p>
      <w:pPr>
        <w:spacing w:after="0" w:before="360"/>
      </w:pPr>
      <w:r>
        <w:rPr>
          <w:rFonts w:ascii="Arial" w:cs="Arial" w:eastAsia="Arial" w:hAnsi="Arial"/>
          <w:b/>
          <w:bCs/>
          <w:color w:val="1e3a5f"/>
          <w:sz w:val="28"/>
          <w:szCs w:val="28"/>
        </w:rPr>
        <w:t xml:space="preserve">4.  Projede Kullanılan Donanımlar ve Yazılımlar</w:t>
      </w:r>
    </w:p>
    <w:p>
      <w:pPr>
        <w:pBdr>
          <w:bottom w:val="single" w:color="1A56DB" w:sz="6" w:space="1"/>
        </w:pBdr>
        <w:spacing w:after="200" w:before="0"/>
      </w:pPr>
    </w:p>
    <w:p>
      <w:pPr>
        <w:spacing w:after="80"/>
      </w:pPr>
      <w:r>
        <w:rPr>
          <w:rFonts w:ascii="Arial" w:cs="Arial" w:eastAsia="Arial" w:hAnsi="Arial"/>
          <w:b/>
          <w:bCs/>
          <w:color w:val="1e3a5f"/>
          <w:sz w:val="24"/>
          <w:szCs w:val="24"/>
        </w:rPr>
        <w:t xml:space="preserve">Donanımlar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Bileşen</w:t>
            </w:r>
          </w:p>
        </w:tc>
        <w:tc>
          <w:tcPr>
            <w:tcW w:type="dxa" w:w="348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Özellikler</w:t>
            </w:r>
          </w:p>
        </w:tc>
        <w:tc>
          <w:tcPr>
            <w:tcW w:type="dxa" w:w="348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Kullanım Amacı</w:t>
            </w:r>
          </w:p>
        </w:tc>
      </w:tr>
      <w:tr>
        <w:tc>
          <w:tcPr>
            <w:tcW w:type="dxa" w:w="2400"/>
            <w:tcBorders>
              <w:top w:val="single" w:color="CCCCCC" w:sz="6"/>
              <w:left w:val="single" w:color="CCCCCC" w:sz="6"/>
              <w:bottom w:val="single" w:color="CCCCCC" w:sz="6"/>
              <w:right w:val="single" w:color="CCCCCC" w:sz="6"/>
            </w:tcBorders>
            <w:shd w:fill="EBF5FF" w:val="clear"/>
            <w:tcMar>
              <w:top w:type="dxa" w:w="80"/>
              <w:left w:type="dxa" w:w="120"/>
              <w:bottom w:type="dxa" w:w="80"/>
              <w:right w:type="dxa" w:w="120"/>
            </w:tcMar>
          </w:tcPr>
          <w:p>
            <w:r>
              <w:rPr>
                <w:rFonts w:ascii="Arial" w:cs="Arial" w:eastAsia="Arial" w:hAnsi="Arial"/>
                <w:b/>
                <w:bCs/>
                <w:color w:val="1e3a5f"/>
                <w:sz w:val="20"/>
                <w:szCs w:val="20"/>
              </w:rPr>
              <w:t xml:space="preserve">İşlemci (CPU)</w:t>
            </w:r>
          </w:p>
        </w:tc>
        <w:tc>
          <w:tcPr>
            <w:tcW w:type="dxa" w:w="3480"/>
            <w:tcBorders>
              <w:top w:val="single" w:color="CCCCCC" w:sz="6"/>
              <w:left w:val="single" w:color="CCCCCC" w:sz="6"/>
              <w:bottom w:val="single" w:color="CCCCCC" w:sz="6"/>
              <w:right w:val="single" w:color="CCCCCC" w:sz="6"/>
            </w:tcBorders>
            <w:shd w:fill="EBF5FF" w:val="clear"/>
            <w:tcMar>
              <w:top w:type="dxa" w:w="80"/>
              <w:left w:type="dxa" w:w="120"/>
              <w:bottom w:type="dxa" w:w="80"/>
              <w:right w:type="dxa" w:w="120"/>
            </w:tcMar>
          </w:tcPr>
          <w:p>
            <w:r>
              <w:rPr>
                <w:rFonts w:ascii="Arial" w:cs="Arial" w:eastAsia="Arial" w:hAnsi="Arial"/>
                <w:color w:val="374151"/>
                <w:sz w:val="20"/>
                <w:szCs w:val="20"/>
              </w:rPr>
              <w:t xml:space="preserve">Intel Core i5/i7 veya AMD Ryzen 5/7, 8+ çekirdek</w:t>
            </w:r>
          </w:p>
        </w:tc>
        <w:tc>
          <w:tcPr>
            <w:tcW w:type="dxa" w:w="3480"/>
            <w:tcBorders>
              <w:top w:val="single" w:color="CCCCCC" w:sz="6"/>
              <w:left w:val="single" w:color="CCCCCC" w:sz="6"/>
              <w:bottom w:val="single" w:color="CCCCCC" w:sz="6"/>
              <w:right w:val="single" w:color="CCCCCC" w:sz="6"/>
            </w:tcBorders>
            <w:shd w:fill="EBF5FF" w:val="clear"/>
            <w:tcMar>
              <w:top w:type="dxa" w:w="80"/>
              <w:left w:type="dxa" w:w="120"/>
              <w:bottom w:type="dxa" w:w="80"/>
              <w:right w:type="dxa" w:w="120"/>
            </w:tcMar>
          </w:tcPr>
          <w:p>
            <w:r>
              <w:rPr>
                <w:rFonts w:ascii="Arial" w:cs="Arial" w:eastAsia="Arial" w:hAnsi="Arial"/>
                <w:color w:val="374151"/>
                <w:sz w:val="20"/>
                <w:szCs w:val="20"/>
              </w:rPr>
              <w:t xml:space="preserve">Model eğitimi ve veri işleme</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Bellek (RAM)</w:t>
            </w:r>
          </w:p>
        </w:tc>
        <w:tc>
          <w:tcPr>
            <w:tcW w:type="dxa" w:w="3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374151"/>
                <w:sz w:val="20"/>
                <w:szCs w:val="20"/>
              </w:rPr>
              <w:t xml:space="preserve">16 GB DDR4 (minimum), 32 GB önerilir</w:t>
            </w:r>
          </w:p>
        </w:tc>
        <w:tc>
          <w:tcPr>
            <w:tcW w:type="dxa" w:w="3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374151"/>
                <w:sz w:val="20"/>
                <w:szCs w:val="20"/>
              </w:rPr>
              <w:t xml:space="preserve">Büyük veri setlerini belleğe yükleme</w:t>
            </w:r>
          </w:p>
        </w:tc>
      </w:tr>
      <w:tr>
        <w:tc>
          <w:tcPr>
            <w:tcW w:type="dxa" w:w="2400"/>
            <w:tcBorders>
              <w:top w:val="single" w:color="CCCCCC" w:sz="6"/>
              <w:left w:val="single" w:color="CCCCCC" w:sz="6"/>
              <w:bottom w:val="single" w:color="CCCCCC" w:sz="6"/>
              <w:right w:val="single" w:color="CCCCCC" w:sz="6"/>
            </w:tcBorders>
            <w:shd w:fill="EBF5FF" w:val="clear"/>
            <w:tcMar>
              <w:top w:type="dxa" w:w="80"/>
              <w:left w:type="dxa" w:w="120"/>
              <w:bottom w:type="dxa" w:w="80"/>
              <w:right w:type="dxa" w:w="120"/>
            </w:tcMar>
          </w:tcPr>
          <w:p>
            <w:r>
              <w:rPr>
                <w:rFonts w:ascii="Arial" w:cs="Arial" w:eastAsia="Arial" w:hAnsi="Arial"/>
                <w:b/>
                <w:bCs/>
                <w:color w:val="1e3a5f"/>
                <w:sz w:val="20"/>
                <w:szCs w:val="20"/>
              </w:rPr>
              <w:t xml:space="preserve">Depolama</w:t>
            </w:r>
          </w:p>
        </w:tc>
        <w:tc>
          <w:tcPr>
            <w:tcW w:type="dxa" w:w="3480"/>
            <w:tcBorders>
              <w:top w:val="single" w:color="CCCCCC" w:sz="6"/>
              <w:left w:val="single" w:color="CCCCCC" w:sz="6"/>
              <w:bottom w:val="single" w:color="CCCCCC" w:sz="6"/>
              <w:right w:val="single" w:color="CCCCCC" w:sz="6"/>
            </w:tcBorders>
            <w:shd w:fill="EBF5FF" w:val="clear"/>
            <w:tcMar>
              <w:top w:type="dxa" w:w="80"/>
              <w:left w:type="dxa" w:w="120"/>
              <w:bottom w:type="dxa" w:w="80"/>
              <w:right w:type="dxa" w:w="120"/>
            </w:tcMar>
          </w:tcPr>
          <w:p>
            <w:r>
              <w:rPr>
                <w:rFonts w:ascii="Arial" w:cs="Arial" w:eastAsia="Arial" w:hAnsi="Arial"/>
                <w:color w:val="374151"/>
                <w:sz w:val="20"/>
                <w:szCs w:val="20"/>
              </w:rPr>
              <w:t xml:space="preserve">256 GB SSD (minimum), NVMe önerilir</w:t>
            </w:r>
          </w:p>
        </w:tc>
        <w:tc>
          <w:tcPr>
            <w:tcW w:type="dxa" w:w="3480"/>
            <w:tcBorders>
              <w:top w:val="single" w:color="CCCCCC" w:sz="6"/>
              <w:left w:val="single" w:color="CCCCCC" w:sz="6"/>
              <w:bottom w:val="single" w:color="CCCCCC" w:sz="6"/>
              <w:right w:val="single" w:color="CCCCCC" w:sz="6"/>
            </w:tcBorders>
            <w:shd w:fill="EBF5FF" w:val="clear"/>
            <w:tcMar>
              <w:top w:type="dxa" w:w="80"/>
              <w:left w:type="dxa" w:w="120"/>
              <w:bottom w:type="dxa" w:w="80"/>
              <w:right w:type="dxa" w:w="120"/>
            </w:tcMar>
          </w:tcPr>
          <w:p>
            <w:r>
              <w:rPr>
                <w:rFonts w:ascii="Arial" w:cs="Arial" w:eastAsia="Arial" w:hAnsi="Arial"/>
                <w:color w:val="374151"/>
                <w:sz w:val="20"/>
                <w:szCs w:val="20"/>
              </w:rPr>
              <w:t xml:space="preserve">Hızlı veritabanı okuma/yazma</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İnternet Bağlantısı</w:t>
            </w:r>
          </w:p>
        </w:tc>
        <w:tc>
          <w:tcPr>
            <w:tcW w:type="dxa" w:w="3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374151"/>
                <w:sz w:val="20"/>
                <w:szCs w:val="20"/>
              </w:rPr>
              <w:t xml:space="preserve">Stabil geniş bant, düşük gecikme</w:t>
            </w:r>
          </w:p>
        </w:tc>
        <w:tc>
          <w:tcPr>
            <w:tcW w:type="dxa" w:w="3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374151"/>
                <w:sz w:val="20"/>
                <w:szCs w:val="20"/>
              </w:rPr>
              <w:t xml:space="preserve">API'lerden gerçek zamanlı veri çekme</w:t>
            </w:r>
          </w:p>
        </w:tc>
      </w:tr>
    </w:tbl>
    <w:p>
      <w:pPr>
        <w:spacing w:after="160" w:before="0"/>
      </w:pPr>
    </w:p>
    <w:p>
      <w:pPr>
        <w:spacing w:after="80"/>
      </w:pPr>
      <w:r>
        <w:rPr>
          <w:rFonts w:ascii="Arial" w:cs="Arial" w:eastAsia="Arial" w:hAnsi="Arial"/>
          <w:b/>
          <w:bCs/>
          <w:color w:val="1e3a5f"/>
          <w:sz w:val="24"/>
          <w:szCs w:val="24"/>
        </w:rPr>
        <w:t xml:space="preserve">Yazılımlar ve Kütüphaneler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c>
          <w:tcPr>
            <w:tcW w:type="dxa" w:w="18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Kategori</w:t>
            </w:r>
          </w:p>
        </w:tc>
        <w:tc>
          <w:tcPr>
            <w:tcW w:type="dxa" w:w="22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Araç / Kütüphane</w:t>
            </w:r>
          </w:p>
        </w:tc>
        <w:tc>
          <w:tcPr>
            <w:tcW w:type="dxa" w:w="18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Sürüm</w:t>
            </w:r>
          </w:p>
        </w:tc>
        <w:tc>
          <w:tcPr>
            <w:tcW w:type="dxa" w:w="35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Kullanım Amacı</w:t>
            </w:r>
          </w:p>
        </w:tc>
      </w:tr>
      <w:tr>
        <w:tc>
          <w:tcPr>
            <w:tcW w:type="dxa" w:w="180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r>
              <w:rPr>
                <w:rFonts w:ascii="Arial" w:cs="Arial" w:eastAsia="Arial" w:hAnsi="Arial"/>
                <w:b/>
                <w:bCs/>
                <w:color w:val="1e3a5f"/>
                <w:sz w:val="19"/>
                <w:szCs w:val="19"/>
              </w:rPr>
              <w:t xml:space="preserve">Programlama Dili</w:t>
            </w:r>
          </w:p>
        </w:tc>
        <w:tc>
          <w:tcPr>
            <w:tcW w:type="dxa" w:w="220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r>
              <w:rPr>
                <w:rFonts w:ascii="Arial" w:cs="Arial" w:eastAsia="Arial" w:hAnsi="Arial"/>
                <w:i/>
                <w:iCs/>
                <w:color w:val="374151"/>
                <w:sz w:val="19"/>
                <w:szCs w:val="19"/>
              </w:rPr>
              <w:t xml:space="preserve">Python</w:t>
            </w:r>
          </w:p>
        </w:tc>
        <w:tc>
          <w:tcPr>
            <w:tcW w:type="dxa" w:w="180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pPr>
              <w:jc w:val="center"/>
            </w:pPr>
            <w:r>
              <w:rPr>
                <w:rFonts w:ascii="Arial" w:cs="Arial" w:eastAsia="Arial" w:hAnsi="Arial"/>
                <w:color w:val="1A56DB"/>
                <w:sz w:val="19"/>
                <w:szCs w:val="19"/>
              </w:rPr>
              <w:t xml:space="preserve">3.11+</w:t>
            </w:r>
          </w:p>
        </w:tc>
        <w:tc>
          <w:tcPr>
            <w:tcW w:type="dxa" w:w="356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r>
              <w:rPr>
                <w:rFonts w:ascii="Arial" w:cs="Arial" w:eastAsia="Arial" w:hAnsi="Arial"/>
                <w:color w:val="374151"/>
                <w:sz w:val="19"/>
                <w:szCs w:val="19"/>
              </w:rPr>
              <w:t xml:space="preserve">Tüm sistem geliştirme</w:t>
            </w:r>
          </w:p>
        </w:tc>
      </w:tr>
      <w:tr>
        <w:tc>
          <w:tcPr>
            <w:tcW w:type="dxa" w:w="18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rFonts w:ascii="Arial" w:cs="Arial" w:eastAsia="Arial" w:hAnsi="Arial"/>
                <w:b/>
                <w:bCs/>
                <w:color w:val="1e3a5f"/>
                <w:sz w:val="19"/>
                <w:szCs w:val="19"/>
              </w:rPr>
              <w:t xml:space="preserve">Veri İşleme</w:t>
            </w:r>
          </w:p>
        </w:tc>
        <w:tc>
          <w:tcPr>
            <w:tcW w:type="dxa" w:w="22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rFonts w:ascii="Arial" w:cs="Arial" w:eastAsia="Arial" w:hAnsi="Arial"/>
                <w:i/>
                <w:iCs/>
                <w:color w:val="374151"/>
                <w:sz w:val="19"/>
                <w:szCs w:val="19"/>
              </w:rPr>
              <w:t xml:space="preserve">NumPy / Pandas</w:t>
            </w:r>
          </w:p>
        </w:tc>
        <w:tc>
          <w:tcPr>
            <w:tcW w:type="dxa" w:w="18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pPr>
              <w:jc w:val="center"/>
            </w:pPr>
            <w:r>
              <w:rPr>
                <w:rFonts w:ascii="Arial" w:cs="Arial" w:eastAsia="Arial" w:hAnsi="Arial"/>
                <w:color w:val="1A56DB"/>
                <w:sz w:val="19"/>
                <w:szCs w:val="19"/>
              </w:rPr>
              <w:t xml:space="preserve">1.26 / 2.1</w:t>
            </w:r>
          </w:p>
        </w:tc>
        <w:tc>
          <w:tcPr>
            <w:tcW w:type="dxa" w:w="35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rFonts w:ascii="Arial" w:cs="Arial" w:eastAsia="Arial" w:hAnsi="Arial"/>
                <w:color w:val="374151"/>
                <w:sz w:val="19"/>
                <w:szCs w:val="19"/>
              </w:rPr>
              <w:t xml:space="preserve">Veri manipülasyonu ve analiz</w:t>
            </w:r>
          </w:p>
        </w:tc>
      </w:tr>
      <w:tr>
        <w:tc>
          <w:tcPr>
            <w:tcW w:type="dxa" w:w="180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r>
              <w:rPr>
                <w:rFonts w:ascii="Arial" w:cs="Arial" w:eastAsia="Arial" w:hAnsi="Arial"/>
                <w:b/>
                <w:bCs/>
                <w:color w:val="1e3a5f"/>
                <w:sz w:val="19"/>
                <w:szCs w:val="19"/>
              </w:rPr>
              <w:t xml:space="preserve">Teknik Analiz</w:t>
            </w:r>
          </w:p>
        </w:tc>
        <w:tc>
          <w:tcPr>
            <w:tcW w:type="dxa" w:w="220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r>
              <w:rPr>
                <w:rFonts w:ascii="Arial" w:cs="Arial" w:eastAsia="Arial" w:hAnsi="Arial"/>
                <w:i/>
                <w:iCs/>
                <w:color w:val="374151"/>
                <w:sz w:val="19"/>
                <w:szCs w:val="19"/>
              </w:rPr>
              <w:t xml:space="preserve">TA-Lib / pandas-ta</w:t>
            </w:r>
          </w:p>
        </w:tc>
        <w:tc>
          <w:tcPr>
            <w:tcW w:type="dxa" w:w="180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pPr>
              <w:jc w:val="center"/>
            </w:pPr>
            <w:r>
              <w:rPr>
                <w:rFonts w:ascii="Arial" w:cs="Arial" w:eastAsia="Arial" w:hAnsi="Arial"/>
                <w:color w:val="1A56DB"/>
                <w:sz w:val="19"/>
                <w:szCs w:val="19"/>
              </w:rPr>
              <w:t xml:space="preserve">0.4 / 0.3</w:t>
            </w:r>
          </w:p>
        </w:tc>
        <w:tc>
          <w:tcPr>
            <w:tcW w:type="dxa" w:w="356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r>
              <w:rPr>
                <w:rFonts w:ascii="Arial" w:cs="Arial" w:eastAsia="Arial" w:hAnsi="Arial"/>
                <w:color w:val="374151"/>
                <w:sz w:val="19"/>
                <w:szCs w:val="19"/>
              </w:rPr>
              <w:t xml:space="preserve">RSI, MACD, BB hesaplama</w:t>
            </w:r>
          </w:p>
        </w:tc>
      </w:tr>
      <w:tr>
        <w:tc>
          <w:tcPr>
            <w:tcW w:type="dxa" w:w="18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rFonts w:ascii="Arial" w:cs="Arial" w:eastAsia="Arial" w:hAnsi="Arial"/>
                <w:b/>
                <w:bCs/>
                <w:color w:val="1e3a5f"/>
                <w:sz w:val="19"/>
                <w:szCs w:val="19"/>
              </w:rPr>
              <w:t xml:space="preserve">Makine Öğrenmesi</w:t>
            </w:r>
          </w:p>
        </w:tc>
        <w:tc>
          <w:tcPr>
            <w:tcW w:type="dxa" w:w="22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rFonts w:ascii="Arial" w:cs="Arial" w:eastAsia="Arial" w:hAnsi="Arial"/>
                <w:i/>
                <w:iCs/>
                <w:color w:val="374151"/>
                <w:sz w:val="19"/>
                <w:szCs w:val="19"/>
              </w:rPr>
              <w:t xml:space="preserve">Scikit-learn</w:t>
            </w:r>
          </w:p>
        </w:tc>
        <w:tc>
          <w:tcPr>
            <w:tcW w:type="dxa" w:w="18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pPr>
              <w:jc w:val="center"/>
            </w:pPr>
            <w:r>
              <w:rPr>
                <w:rFonts w:ascii="Arial" w:cs="Arial" w:eastAsia="Arial" w:hAnsi="Arial"/>
                <w:color w:val="1A56DB"/>
                <w:sz w:val="19"/>
                <w:szCs w:val="19"/>
              </w:rPr>
              <w:t xml:space="preserve">1.4+</w:t>
            </w:r>
          </w:p>
        </w:tc>
        <w:tc>
          <w:tcPr>
            <w:tcW w:type="dxa" w:w="35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rFonts w:ascii="Arial" w:cs="Arial" w:eastAsia="Arial" w:hAnsi="Arial"/>
                <w:color w:val="374151"/>
                <w:sz w:val="19"/>
                <w:szCs w:val="19"/>
              </w:rPr>
              <w:t xml:space="preserve">RF, XGBoost, cross-validation</w:t>
            </w:r>
          </w:p>
        </w:tc>
      </w:tr>
      <w:tr>
        <w:tc>
          <w:tcPr>
            <w:tcW w:type="dxa" w:w="180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r>
              <w:rPr>
                <w:rFonts w:ascii="Arial" w:cs="Arial" w:eastAsia="Arial" w:hAnsi="Arial"/>
                <w:b/>
                <w:bCs/>
                <w:color w:val="1e3a5f"/>
                <w:sz w:val="19"/>
                <w:szCs w:val="19"/>
              </w:rPr>
              <w:t xml:space="preserve">Derin Öğrenme</w:t>
            </w:r>
          </w:p>
        </w:tc>
        <w:tc>
          <w:tcPr>
            <w:tcW w:type="dxa" w:w="220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r>
              <w:rPr>
                <w:rFonts w:ascii="Arial" w:cs="Arial" w:eastAsia="Arial" w:hAnsi="Arial"/>
                <w:i/>
                <w:iCs/>
                <w:color w:val="374151"/>
                <w:sz w:val="19"/>
                <w:szCs w:val="19"/>
              </w:rPr>
              <w:t xml:space="preserve">TensorFlow / Keras</w:t>
            </w:r>
          </w:p>
        </w:tc>
        <w:tc>
          <w:tcPr>
            <w:tcW w:type="dxa" w:w="180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pPr>
              <w:jc w:val="center"/>
            </w:pPr>
            <w:r>
              <w:rPr>
                <w:rFonts w:ascii="Arial" w:cs="Arial" w:eastAsia="Arial" w:hAnsi="Arial"/>
                <w:color w:val="1A56DB"/>
                <w:sz w:val="19"/>
                <w:szCs w:val="19"/>
              </w:rPr>
              <w:t xml:space="preserve">2.15+</w:t>
            </w:r>
          </w:p>
        </w:tc>
        <w:tc>
          <w:tcPr>
            <w:tcW w:type="dxa" w:w="356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r>
              <w:rPr>
                <w:rFonts w:ascii="Arial" w:cs="Arial" w:eastAsia="Arial" w:hAnsi="Arial"/>
                <w:color w:val="374151"/>
                <w:sz w:val="19"/>
                <w:szCs w:val="19"/>
              </w:rPr>
              <w:t xml:space="preserve">LSTM model geliştirme</w:t>
            </w:r>
          </w:p>
        </w:tc>
      </w:tr>
      <w:tr>
        <w:tc>
          <w:tcPr>
            <w:tcW w:type="dxa" w:w="18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rFonts w:ascii="Arial" w:cs="Arial" w:eastAsia="Arial" w:hAnsi="Arial"/>
                <w:b/>
                <w:bCs/>
                <w:color w:val="1e3a5f"/>
                <w:sz w:val="19"/>
                <w:szCs w:val="19"/>
              </w:rPr>
              <w:t xml:space="preserve">Gradient Boosting</w:t>
            </w:r>
          </w:p>
        </w:tc>
        <w:tc>
          <w:tcPr>
            <w:tcW w:type="dxa" w:w="22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rFonts w:ascii="Arial" w:cs="Arial" w:eastAsia="Arial" w:hAnsi="Arial"/>
                <w:i/>
                <w:iCs/>
                <w:color w:val="374151"/>
                <w:sz w:val="19"/>
                <w:szCs w:val="19"/>
              </w:rPr>
              <w:t xml:space="preserve">XGBoost</w:t>
            </w:r>
          </w:p>
        </w:tc>
        <w:tc>
          <w:tcPr>
            <w:tcW w:type="dxa" w:w="18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pPr>
              <w:jc w:val="center"/>
            </w:pPr>
            <w:r>
              <w:rPr>
                <w:rFonts w:ascii="Arial" w:cs="Arial" w:eastAsia="Arial" w:hAnsi="Arial"/>
                <w:color w:val="1A56DB"/>
                <w:sz w:val="19"/>
                <w:szCs w:val="19"/>
              </w:rPr>
              <w:t xml:space="preserve">2.0+</w:t>
            </w:r>
          </w:p>
        </w:tc>
        <w:tc>
          <w:tcPr>
            <w:tcW w:type="dxa" w:w="35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rFonts w:ascii="Arial" w:cs="Arial" w:eastAsia="Arial" w:hAnsi="Arial"/>
                <w:color w:val="374151"/>
                <w:sz w:val="19"/>
                <w:szCs w:val="19"/>
              </w:rPr>
              <w:t xml:space="preserve">Sinyal sınıflandırması</w:t>
            </w:r>
          </w:p>
        </w:tc>
      </w:tr>
      <w:tr>
        <w:tc>
          <w:tcPr>
            <w:tcW w:type="dxa" w:w="180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r>
              <w:rPr>
                <w:rFonts w:ascii="Arial" w:cs="Arial" w:eastAsia="Arial" w:hAnsi="Arial"/>
                <w:b/>
                <w:bCs/>
                <w:color w:val="1e3a5f"/>
                <w:sz w:val="19"/>
                <w:szCs w:val="19"/>
              </w:rPr>
              <w:t xml:space="preserve">Görselleştirme</w:t>
            </w:r>
          </w:p>
        </w:tc>
        <w:tc>
          <w:tcPr>
            <w:tcW w:type="dxa" w:w="220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r>
              <w:rPr>
                <w:rFonts w:ascii="Arial" w:cs="Arial" w:eastAsia="Arial" w:hAnsi="Arial"/>
                <w:i/>
                <w:iCs/>
                <w:color w:val="374151"/>
                <w:sz w:val="19"/>
                <w:szCs w:val="19"/>
              </w:rPr>
              <w:t xml:space="preserve">Matplotlib / Plotly</w:t>
            </w:r>
          </w:p>
        </w:tc>
        <w:tc>
          <w:tcPr>
            <w:tcW w:type="dxa" w:w="180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pPr>
              <w:jc w:val="center"/>
            </w:pPr>
            <w:r>
              <w:rPr>
                <w:rFonts w:ascii="Arial" w:cs="Arial" w:eastAsia="Arial" w:hAnsi="Arial"/>
                <w:color w:val="1A56DB"/>
                <w:sz w:val="19"/>
                <w:szCs w:val="19"/>
              </w:rPr>
              <w:t xml:space="preserve">3.8 / 5.18</w:t>
            </w:r>
          </w:p>
        </w:tc>
        <w:tc>
          <w:tcPr>
            <w:tcW w:type="dxa" w:w="356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r>
              <w:rPr>
                <w:rFonts w:ascii="Arial" w:cs="Arial" w:eastAsia="Arial" w:hAnsi="Arial"/>
                <w:color w:val="374151"/>
                <w:sz w:val="19"/>
                <w:szCs w:val="19"/>
              </w:rPr>
              <w:t xml:space="preserve">Statik ve interaktif grafikler</w:t>
            </w:r>
          </w:p>
        </w:tc>
      </w:tr>
      <w:tr>
        <w:tc>
          <w:tcPr>
            <w:tcW w:type="dxa" w:w="18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rFonts w:ascii="Arial" w:cs="Arial" w:eastAsia="Arial" w:hAnsi="Arial"/>
                <w:b/>
                <w:bCs/>
                <w:color w:val="1e3a5f"/>
                <w:sz w:val="19"/>
                <w:szCs w:val="19"/>
              </w:rPr>
              <w:t xml:space="preserve">Borsa API</w:t>
            </w:r>
          </w:p>
        </w:tc>
        <w:tc>
          <w:tcPr>
            <w:tcW w:type="dxa" w:w="22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rFonts w:ascii="Arial" w:cs="Arial" w:eastAsia="Arial" w:hAnsi="Arial"/>
                <w:i/>
                <w:iCs/>
                <w:color w:val="374151"/>
                <w:sz w:val="19"/>
                <w:szCs w:val="19"/>
              </w:rPr>
              <w:t xml:space="preserve">ccxt / python-binance</w:t>
            </w:r>
          </w:p>
        </w:tc>
        <w:tc>
          <w:tcPr>
            <w:tcW w:type="dxa" w:w="18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pPr>
              <w:jc w:val="center"/>
            </w:pPr>
            <w:r>
              <w:rPr>
                <w:rFonts w:ascii="Arial" w:cs="Arial" w:eastAsia="Arial" w:hAnsi="Arial"/>
                <w:color w:val="1A56DB"/>
                <w:sz w:val="19"/>
                <w:szCs w:val="19"/>
              </w:rPr>
              <w:t xml:space="preserve">4.2 / 1.0</w:t>
            </w:r>
          </w:p>
        </w:tc>
        <w:tc>
          <w:tcPr>
            <w:tcW w:type="dxa" w:w="35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rFonts w:ascii="Arial" w:cs="Arial" w:eastAsia="Arial" w:hAnsi="Arial"/>
                <w:color w:val="374151"/>
                <w:sz w:val="19"/>
                <w:szCs w:val="19"/>
              </w:rPr>
              <w:t xml:space="preserve">Binance veri erişimi</w:t>
            </w:r>
          </w:p>
        </w:tc>
      </w:tr>
      <w:tr>
        <w:tc>
          <w:tcPr>
            <w:tcW w:type="dxa" w:w="180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r>
              <w:rPr>
                <w:rFonts w:ascii="Arial" w:cs="Arial" w:eastAsia="Arial" w:hAnsi="Arial"/>
                <w:b/>
                <w:bCs/>
                <w:color w:val="1e3a5f"/>
                <w:sz w:val="19"/>
                <w:szCs w:val="19"/>
              </w:rPr>
              <w:t xml:space="preserve">Veritabanı</w:t>
            </w:r>
          </w:p>
        </w:tc>
        <w:tc>
          <w:tcPr>
            <w:tcW w:type="dxa" w:w="220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r>
              <w:rPr>
                <w:rFonts w:ascii="Arial" w:cs="Arial" w:eastAsia="Arial" w:hAnsi="Arial"/>
                <w:i/>
                <w:iCs/>
                <w:color w:val="374151"/>
                <w:sz w:val="19"/>
                <w:szCs w:val="19"/>
              </w:rPr>
              <w:t xml:space="preserve">SQLite</w:t>
            </w:r>
          </w:p>
        </w:tc>
        <w:tc>
          <w:tcPr>
            <w:tcW w:type="dxa" w:w="180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pPr>
              <w:jc w:val="center"/>
            </w:pPr>
            <w:r>
              <w:rPr>
                <w:rFonts w:ascii="Arial" w:cs="Arial" w:eastAsia="Arial" w:hAnsi="Arial"/>
                <w:color w:val="1A56DB"/>
                <w:sz w:val="19"/>
                <w:szCs w:val="19"/>
              </w:rPr>
              <w:t xml:space="preserve">3.45+</w:t>
            </w:r>
          </w:p>
        </w:tc>
        <w:tc>
          <w:tcPr>
            <w:tcW w:type="dxa" w:w="356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r>
              <w:rPr>
                <w:rFonts w:ascii="Arial" w:cs="Arial" w:eastAsia="Arial" w:hAnsi="Arial"/>
                <w:color w:val="374151"/>
                <w:sz w:val="19"/>
                <w:szCs w:val="19"/>
              </w:rPr>
              <w:t xml:space="preserve">Yerel veri saklama</w:t>
            </w:r>
          </w:p>
        </w:tc>
      </w:tr>
      <w:tr>
        <w:tc>
          <w:tcPr>
            <w:tcW w:type="dxa" w:w="18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rFonts w:ascii="Arial" w:cs="Arial" w:eastAsia="Arial" w:hAnsi="Arial"/>
                <w:b/>
                <w:bCs/>
                <w:color w:val="1e3a5f"/>
                <w:sz w:val="19"/>
                <w:szCs w:val="19"/>
              </w:rPr>
              <w:t xml:space="preserve">Versiyon Kontrol</w:t>
            </w:r>
          </w:p>
        </w:tc>
        <w:tc>
          <w:tcPr>
            <w:tcW w:type="dxa" w:w="22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rFonts w:ascii="Arial" w:cs="Arial" w:eastAsia="Arial" w:hAnsi="Arial"/>
                <w:i/>
                <w:iCs/>
                <w:color w:val="374151"/>
                <w:sz w:val="19"/>
                <w:szCs w:val="19"/>
              </w:rPr>
              <w:t xml:space="preserve">Git / GitHub</w:t>
            </w:r>
          </w:p>
        </w:tc>
        <w:tc>
          <w:tcPr>
            <w:tcW w:type="dxa" w:w="18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pPr>
              <w:jc w:val="center"/>
            </w:pPr>
            <w:r>
              <w:rPr>
                <w:rFonts w:ascii="Arial" w:cs="Arial" w:eastAsia="Arial" w:hAnsi="Arial"/>
                <w:color w:val="1A56DB"/>
                <w:sz w:val="19"/>
                <w:szCs w:val="19"/>
              </w:rPr>
              <w:t xml:space="preserve">-</w:t>
            </w:r>
          </w:p>
        </w:tc>
        <w:tc>
          <w:tcPr>
            <w:tcW w:type="dxa" w:w="35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rFonts w:ascii="Arial" w:cs="Arial" w:eastAsia="Arial" w:hAnsi="Arial"/>
                <w:color w:val="374151"/>
                <w:sz w:val="19"/>
                <w:szCs w:val="19"/>
              </w:rPr>
              <w:t xml:space="preserve">Kod yönetimi ve paylaşım</w:t>
            </w:r>
          </w:p>
        </w:tc>
      </w:tr>
      <w:tr>
        <w:tc>
          <w:tcPr>
            <w:tcW w:type="dxa" w:w="180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r>
              <w:rPr>
                <w:rFonts w:ascii="Arial" w:cs="Arial" w:eastAsia="Arial" w:hAnsi="Arial"/>
                <w:b/>
                <w:bCs/>
                <w:color w:val="1e3a5f"/>
                <w:sz w:val="19"/>
                <w:szCs w:val="19"/>
              </w:rPr>
              <w:t xml:space="preserve">Geliştirme Ortamı</w:t>
            </w:r>
          </w:p>
        </w:tc>
        <w:tc>
          <w:tcPr>
            <w:tcW w:type="dxa" w:w="220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r>
              <w:rPr>
                <w:rFonts w:ascii="Arial" w:cs="Arial" w:eastAsia="Arial" w:hAnsi="Arial"/>
                <w:i/>
                <w:iCs/>
                <w:color w:val="374151"/>
                <w:sz w:val="19"/>
                <w:szCs w:val="19"/>
              </w:rPr>
              <w:t xml:space="preserve">VS Code / Jupyter</w:t>
            </w:r>
          </w:p>
        </w:tc>
        <w:tc>
          <w:tcPr>
            <w:tcW w:type="dxa" w:w="180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pPr>
              <w:jc w:val="center"/>
            </w:pPr>
            <w:r>
              <w:rPr>
                <w:rFonts w:ascii="Arial" w:cs="Arial" w:eastAsia="Arial" w:hAnsi="Arial"/>
                <w:color w:val="1A56DB"/>
                <w:sz w:val="19"/>
                <w:szCs w:val="19"/>
              </w:rPr>
              <w:t xml:space="preserve">-</w:t>
            </w:r>
          </w:p>
        </w:tc>
        <w:tc>
          <w:tcPr>
            <w:tcW w:type="dxa" w:w="3560"/>
            <w:tcBorders>
              <w:top w:val="single" w:color="CCCCCC" w:sz="6"/>
              <w:left w:val="single" w:color="CCCCCC" w:sz="6"/>
              <w:bottom w:val="single" w:color="CCCCCC" w:sz="6"/>
              <w:right w:val="single" w:color="CCCCCC" w:sz="6"/>
            </w:tcBorders>
            <w:shd w:fill="F3F4F6" w:val="clear"/>
            <w:tcMar>
              <w:top w:type="dxa" w:w="70"/>
              <w:left w:type="dxa" w:w="120"/>
              <w:bottom w:type="dxa" w:w="70"/>
              <w:right w:type="dxa" w:w="120"/>
            </w:tcMar>
          </w:tcPr>
          <w:p>
            <w:r>
              <w:rPr>
                <w:rFonts w:ascii="Arial" w:cs="Arial" w:eastAsia="Arial" w:hAnsi="Arial"/>
                <w:color w:val="374151"/>
                <w:sz w:val="19"/>
                <w:szCs w:val="19"/>
              </w:rPr>
              <w:t xml:space="preserve">Kodlama ve deney ortamı</w:t>
            </w:r>
          </w:p>
        </w:tc>
      </w:tr>
      <w:tr>
        <w:tc>
          <w:tcPr>
            <w:tcW w:type="dxa" w:w="18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rFonts w:ascii="Arial" w:cs="Arial" w:eastAsia="Arial" w:hAnsi="Arial"/>
                <w:b/>
                <w:bCs/>
                <w:color w:val="1e3a5f"/>
                <w:sz w:val="19"/>
                <w:szCs w:val="19"/>
              </w:rPr>
              <w:t xml:space="preserve">İşletim Sistemi</w:t>
            </w:r>
          </w:p>
        </w:tc>
        <w:tc>
          <w:tcPr>
            <w:tcW w:type="dxa" w:w="22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rFonts w:ascii="Arial" w:cs="Arial" w:eastAsia="Arial" w:hAnsi="Arial"/>
                <w:i/>
                <w:iCs/>
                <w:color w:val="374151"/>
                <w:sz w:val="19"/>
                <w:szCs w:val="19"/>
              </w:rPr>
              <w:t xml:space="preserve">Windows 10/11 veya Ubuntu 22.04</w:t>
            </w:r>
          </w:p>
        </w:tc>
        <w:tc>
          <w:tcPr>
            <w:tcW w:type="dxa" w:w="180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pPr>
              <w:jc w:val="center"/>
            </w:pPr>
            <w:r>
              <w:rPr>
                <w:rFonts w:ascii="Arial" w:cs="Arial" w:eastAsia="Arial" w:hAnsi="Arial"/>
                <w:color w:val="1A56DB"/>
                <w:sz w:val="19"/>
                <w:szCs w:val="19"/>
              </w:rPr>
              <w:t xml:space="preserve">-</w:t>
            </w:r>
          </w:p>
        </w:tc>
        <w:tc>
          <w:tcPr>
            <w:tcW w:type="dxa" w:w="3560"/>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rFonts w:ascii="Arial" w:cs="Arial" w:eastAsia="Arial" w:hAnsi="Arial"/>
                <w:color w:val="374151"/>
                <w:sz w:val="19"/>
                <w:szCs w:val="19"/>
              </w:rPr>
              <w:t xml:space="preserve">Çalışma platformu</w:t>
            </w:r>
          </w:p>
        </w:tc>
      </w:tr>
    </w:tbl>
    <w:p>
      <w:pPr>
        <w:spacing w:after="100" w:before="0"/>
      </w:pPr>
    </w:p>
    <w:p>
      <w:r>
        <w:br w:type="page"/>
      </w:r>
    </w:p>
    <w:p>
      <w:pPr>
        <w:spacing w:after="0" w:before="360"/>
      </w:pPr>
      <w:r>
        <w:rPr>
          <w:rFonts w:ascii="Arial" w:cs="Arial" w:eastAsia="Arial" w:hAnsi="Arial"/>
          <w:b/>
          <w:bCs/>
          <w:color w:val="1e3a5f"/>
          <w:sz w:val="28"/>
          <w:szCs w:val="28"/>
        </w:rPr>
        <w:t xml:space="preserve">5.  Projenin Yapım Aşamaları</w:t>
      </w:r>
    </w:p>
    <w:p>
      <w:pPr>
        <w:pBdr>
          <w:bottom w:val="single" w:color="1A56DB" w:sz="6"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vAlign w:val="center"/>
          </w:tcPr>
          <w:p>
            <w:pPr>
              <w:jc w:val="center"/>
            </w:pPr>
            <w:r/>
            <w:r>
              <w:rPr>
                <w:rFonts w:ascii="Calibri" w:hAnsi="Calibri"/>
                <w:b/>
                <w:sz w:val="20"/>
              </w:rPr>
              <w:t>1. Hafta</w:t>
            </w:r>
          </w:p>
        </w:tc>
        <w:tc>
          <w:tcPr>
            <w:tcW w:type="dxa" w:w="7760"/>
            <w:tcBorders>
              <w:top w:val="single" w:color="1e3a5f" w:sz="6"/>
              <w:left w:val="single" w:color="1e3a5f" w:sz="6"/>
              <w:bottom w:val="single" w:color="1e3a5f" w:sz="6"/>
              <w:right w:val="single" w:color="1e3a5f" w:sz="6"/>
            </w:tcBorders>
            <w:shd w:fill="F3F4F6" w:val="clear"/>
            <w:tcMar>
              <w:top w:type="dxa" w:w="100"/>
              <w:left w:type="dxa" w:w="160"/>
              <w:bottom w:type="dxa" w:w="100"/>
              <w:right w:type="dxa" w:w="160"/>
            </w:tcMar>
          </w:tcPr>
          <w:p>
            <w:r/>
            <w:r>
              <w:rPr>
                <w:rFonts w:ascii="Calibri" w:hAnsi="Calibri"/>
                <w:b w:val="0"/>
                <w:sz w:val="20"/>
              </w:rPr>
              <w:t>Proje konusunun belirlenmesi, iş planının oluşturulması ve akademik literatür araştırması yapılmıştır. Kripto para piyasalarında makine öğrenmesi ve derin öğrenme tabanlı alım-satım sistemlerine yönelik güncel çalışmalar incelenmiştir. LSTM, GRU, XGBoost, Random Forest ve Reinforcement Learning (PPO) yaklaşımlarını kullanan benzer projelerin güçlü ve zayıf yönleri karşılaştırmalı olarak analiz edilmiştir. Binance API, CoinGecko API ve yfinance kütüphanesi dokümantasyonları incelenerek kullanılacak veri kaynakları ve yöntemler belirlenmiştir.</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vAlign w:val="center"/>
          </w:tcPr>
          <w:p>
            <w:pPr>
              <w:jc w:val="center"/>
            </w:pPr>
            <w:r/>
            <w:r>
              <w:rPr>
                <w:rFonts w:ascii="Calibri" w:hAnsi="Calibri"/>
                <w:b/>
                <w:sz w:val="20"/>
              </w:rPr>
              <w:t>2. Hafta</w:t>
            </w:r>
          </w:p>
        </w:tc>
        <w:tc>
          <w:tcPr>
            <w:tcW w:type="dxa" w:w="7760"/>
            <w:tcBorders>
              <w:top w:val="single" w:color="1e3a5f" w:sz="6"/>
              <w:left w:val="single" w:color="1e3a5f" w:sz="6"/>
              <w:bottom w:val="single" w:color="1e3a5f" w:sz="6"/>
              <w:right w:val="single" w:color="1e3a5f" w:sz="6"/>
            </w:tcBorders>
            <w:shd w:fill="FFFFFF" w:val="clear"/>
            <w:tcMar>
              <w:top w:type="dxa" w:w="100"/>
              <w:left w:type="dxa" w:w="160"/>
              <w:bottom w:type="dxa" w:w="100"/>
              <w:right w:type="dxa" w:w="160"/>
            </w:tcMar>
          </w:tcPr>
          <w:p>
            <w:r/>
            <w:r>
              <w:rPr>
                <w:rFonts w:ascii="Calibri" w:hAnsi="Calibri"/>
                <w:b w:val="0"/>
                <w:sz w:val="20"/>
              </w:rPr>
              <w:t>Binance ve CoinGecko API'leri entegre edilmiş; BTC-USD, ETH-USD ve SOL-USD kripto para çiftleri için tarihsel ve gerçek zamanlı OHLCV (Open, High, Low, Close, Volume) verisi toplanmıştır. SQLite veritabanı şeması tasarlanmış, kline ve market verileri için ilişkisel tablo yapısı oluşturulmuştur. Veri toplama modülleri (binance_collector.py, coingecko_collector.py) geliştirilmiştir.</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vAlign w:val="center"/>
          </w:tcPr>
          <w:p>
            <w:pPr>
              <w:jc w:val="center"/>
            </w:pPr>
            <w:r/>
            <w:r>
              <w:rPr>
                <w:rFonts w:ascii="Calibri" w:hAnsi="Calibri"/>
                <w:b/>
                <w:sz w:val="20"/>
              </w:rPr>
              <w:t>3. Hafta</w:t>
            </w:r>
          </w:p>
        </w:tc>
        <w:tc>
          <w:tcPr>
            <w:tcW w:type="dxa" w:w="7760"/>
            <w:tcBorders>
              <w:top w:val="single" w:color="1e3a5f" w:sz="6"/>
              <w:left w:val="single" w:color="1e3a5f" w:sz="6"/>
              <w:bottom w:val="single" w:color="1e3a5f" w:sz="6"/>
              <w:right w:val="single" w:color="1e3a5f" w:sz="6"/>
            </w:tcBorders>
            <w:shd w:fill="F3F4F6" w:val="clear"/>
            <w:tcMar>
              <w:top w:type="dxa" w:w="100"/>
              <w:left w:type="dxa" w:w="160"/>
              <w:bottom w:type="dxa" w:w="100"/>
              <w:right w:type="dxa" w:w="160"/>
            </w:tcMar>
          </w:tcPr>
          <w:p>
            <w:r/>
            <w:r>
              <w:rPr>
                <w:rFonts w:ascii="Calibri" w:hAnsi="Calibri"/>
                <w:b w:val="0"/>
                <w:sz w:val="20"/>
              </w:rPr>
              <w:t>Toplanan ham veriler üzerinde veri temizleme ve önişleme çalışmaları yürütülmüştür. Eksik ve hatalı veriler tespit edilerek interpolasyon ve forward-fill yöntemleriyle düzeltilmiştir. Min-Max normalizasyon ve standartlaştırma işlemleri uygulanmıştır. yfinance üzerinden alternatif veri çekme mekanizması (data_pipeline.py) geliştirilmiştir. Veri kalite raporu oluşturulmuştur.</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vAlign w:val="center"/>
          </w:tcPr>
          <w:p>
            <w:pPr>
              <w:jc w:val="center"/>
            </w:pPr>
            <w:r/>
            <w:r>
              <w:rPr>
                <w:rFonts w:ascii="Calibri" w:hAnsi="Calibri"/>
                <w:b/>
                <w:sz w:val="20"/>
              </w:rPr>
              <w:t>4. Hafta</w:t>
            </w:r>
          </w:p>
        </w:tc>
        <w:tc>
          <w:tcPr>
            <w:tcW w:type="dxa" w:w="7760"/>
            <w:tcBorders>
              <w:top w:val="single" w:color="1e3a5f" w:sz="6"/>
              <w:left w:val="single" w:color="1e3a5f" w:sz="6"/>
              <w:bottom w:val="single" w:color="1e3a5f" w:sz="6"/>
              <w:right w:val="single" w:color="1e3a5f" w:sz="6"/>
            </w:tcBorders>
            <w:shd w:fill="FFFFFF" w:val="clear"/>
            <w:tcMar>
              <w:top w:type="dxa" w:w="100"/>
              <w:left w:type="dxa" w:w="160"/>
              <w:bottom w:type="dxa" w:w="100"/>
              <w:right w:type="dxa" w:w="160"/>
            </w:tcMar>
          </w:tcPr>
          <w:p>
            <w:r/>
            <w:r>
              <w:rPr>
                <w:rFonts w:ascii="Calibri" w:hAnsi="Calibri"/>
                <w:b w:val="0"/>
                <w:sz w:val="20"/>
              </w:rPr>
              <w:t>RSI (14 periyot), MACD (12-26-9), Bollinger Bands (20 periyot), EMA, SMA (20 periyot), ATR (14 periyot) ve VWAP teknik göstergeleri hesaplanarak veri setine eklenmiştir. Gösterge hesaplama fonksiyonları (indicators.py) modüler bir yapıda geliştirilmiş ve otomatik pipeline'a entegre edilmiştir. Alım/satım sinyal üretimi (signal_generator.py) için kural tabanlı strateji motoru tasarlanmıştır.</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vAlign w:val="center"/>
          </w:tcPr>
          <w:p>
            <w:pPr>
              <w:jc w:val="center"/>
            </w:pPr>
            <w:r/>
            <w:r>
              <w:rPr>
                <w:rFonts w:ascii="Calibri" w:hAnsi="Calibri"/>
                <w:b/>
                <w:sz w:val="20"/>
              </w:rPr>
              <w:t>5. Hafta</w:t>
            </w:r>
          </w:p>
        </w:tc>
        <w:tc>
          <w:tcPr>
            <w:tcW w:type="dxa" w:w="7760"/>
            <w:tcBorders>
              <w:top w:val="single" w:color="1e3a5f" w:sz="6"/>
              <w:left w:val="single" w:color="1e3a5f" w:sz="6"/>
              <w:bottom w:val="single" w:color="1e3a5f" w:sz="6"/>
              <w:right w:val="single" w:color="1e3a5f" w:sz="6"/>
            </w:tcBorders>
            <w:shd w:fill="F3F4F6" w:val="clear"/>
            <w:tcMar>
              <w:top w:type="dxa" w:w="100"/>
              <w:left w:type="dxa" w:w="160"/>
              <w:bottom w:type="dxa" w:w="100"/>
              <w:right w:type="dxa" w:w="160"/>
            </w:tcMar>
          </w:tcPr>
          <w:p>
            <w:r/>
            <w:r>
              <w:rPr>
                <w:rFonts w:ascii="Calibri" w:hAnsi="Calibri"/>
                <w:b w:val="0"/>
                <w:sz w:val="20"/>
              </w:rPr>
              <w:t>Gelişmiş özellik mühendisliği çalışmaları tamamlanmıştır. RSI momentum, MACD histogram değişim oranı, Bollinger Band genişliği, rolling window istatistikleri (7/14/30 gün), volatilite metrikleri (ATR yüzdesi, Garman-Klass volatilitesi), hacim bazlı özellikler (OBV, volume ratio, volume momentum) ve fiyat pattern özellikleri (higher high, lower low, trend strength) hesaplanmıştır. Feature importance analizi yapılarak düşük katkılı özellikler elenmiş ve 40+ anlamlı özellikten oluşan veri matrisi oluşturulmuştur.</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9CA3AF" w:sz="6"/>
              <w:left w:val="single" w:color="9CA3AF" w:sz="6"/>
              <w:bottom w:val="single" w:color="9CA3AF" w:sz="6"/>
              <w:right w:val="single" w:color="9CA3AF" w:sz="6"/>
            </w:tcBorders>
            <w:shd w:fill="9CA3AF" w:val="clear"/>
            <w:tcMar>
              <w:top w:type="dxa" w:w="100"/>
              <w:left w:type="dxa" w:w="140"/>
              <w:bottom w:type="dxa" w:w="100"/>
              <w:right w:type="dxa" w:w="140"/>
            </w:tcMar>
            <w:vAlign w:val="center"/>
          </w:tcPr>
          <w:p>
            <w:pPr>
              <w:jc w:val="center"/>
            </w:pPr>
            <w:r/>
            <w:r>
              <w:rPr>
                <w:rFonts w:ascii="Calibri" w:hAnsi="Calibri"/>
                <w:b/>
                <w:sz w:val="20"/>
              </w:rPr>
              <w:t>6. Hafta</w:t>
            </w:r>
          </w:p>
        </w:tc>
        <w:tc>
          <w:tcPr>
            <w:tcW w:type="dxa" w:w="7760"/>
            <w:tcBorders>
              <w:top w:val="single" w:color="9CA3AF" w:sz="6"/>
              <w:left w:val="single" w:color="9CA3AF" w:sz="6"/>
              <w:bottom w:val="single" w:color="9CA3AF" w:sz="6"/>
              <w:right w:val="single" w:color="9CA3AF" w:sz="6"/>
            </w:tcBorders>
            <w:shd w:fill="FFFFFF" w:val="clear"/>
            <w:tcMar>
              <w:top w:type="dxa" w:w="100"/>
              <w:left w:type="dxa" w:w="160"/>
              <w:bottom w:type="dxa" w:w="100"/>
              <w:right w:type="dxa" w:w="160"/>
            </w:tcMar>
          </w:tcPr>
          <w:p>
            <w:r/>
            <w:r>
              <w:rPr>
                <w:rFonts w:ascii="Calibri" w:hAnsi="Calibri"/>
                <w:b w:val="0"/>
                <w:sz w:val="20"/>
              </w:rPr>
              <w:t>Zaman serisi fiyat tahmini için LSTM (Long Short-Term Memory) derin öğrenme modeli geliştirilmiştir. Çok katmanlı LSTM mimarisi tasarlanmış; dropout katmanları ve batch normalization teknikleriyle overfitting önlenmiştir. Sequence length optimizasyonu yapılmış, early stopping mekanizması entegre edilmiştir. BTC-USD, ETH-USD ve SOL-USD için ayrı ayrı model eğitimi başlatılmıştır.</w:t>
            </w:r>
          </w:p>
        </w:tc>
      </w:tr>
    </w:tbl>
    <w:tbl>
      <w:tblPr>
        <w:tblW w:type="auto" w:w="0"/>
        <w:tblLook w:firstColumn="1" w:firstRow="1" w:lastColumn="0" w:lastRow="0" w:noHBand="0" w:noVBand="1" w:val="04A0"/>
      </w:tblPr>
      <w:tblGrid>
        <w:gridCol w:w="4819"/>
        <w:gridCol w:w="4819"/>
      </w:tblGrid>
      <w:tr>
        <w:tc>
          <w:tcPr>
            <w:tcW w:type="dxa" w:w="1728"/>
          </w:tcPr>
          <w:p>
            <w:r/>
            <w:r>
              <w:rPr>
                <w:rFonts w:ascii="Calibri" w:hAnsi="Calibri"/>
                <w:b/>
                <w:sz w:val="20"/>
              </w:rPr>
              <w:t>7. Hafta</w:t>
            </w:r>
          </w:p>
        </w:tc>
        <w:tc>
          <w:tcPr>
            <w:tcW w:type="dxa" w:w="7632"/>
          </w:tcPr>
          <w:p>
            <w:r/>
            <w:r>
              <w:rPr>
                <w:rFonts w:ascii="Calibri" w:hAnsi="Calibri"/>
                <w:b w:val="0"/>
                <w:sz w:val="20"/>
              </w:rPr>
              <w:t>GRU (Gated Recurrent Unit) modeli geliştirilmiş ve LSTM ile karşılaştırmalı analiz yapılmıştır. Her iki modelin MSE, MAE ve RMSE metrikleri üzerinden performansları değerlendirilmiştir. Hiperparametre optimizasyonu (learning rate, batch size, epoch sayısı, hidden layer boyutu) gerçekleştirilmiştir. Model ağırlıkları .pth formatında kaydedilmiş ve yeniden yüklenebilir hale getirilmiştir.</w:t>
            </w:r>
          </w:p>
        </w:tc>
      </w:tr>
    </w:tbl>
    <w:tbl>
      <w:tblPr>
        <w:tblW w:type="auto" w:w="0"/>
        <w:tblLook w:firstColumn="1" w:firstRow="1" w:lastColumn="0" w:lastRow="0" w:noHBand="0" w:noVBand="1" w:val="04A0"/>
      </w:tblPr>
      <w:tblGrid>
        <w:gridCol w:w="4819"/>
        <w:gridCol w:w="4819"/>
      </w:tblGrid>
      <w:tr>
        <w:tc>
          <w:tcPr>
            <w:tcW w:type="dxa" w:w="1728"/>
          </w:tcPr>
          <w:p>
            <w:r/>
            <w:r>
              <w:rPr>
                <w:rFonts w:ascii="Calibri" w:hAnsi="Calibri"/>
                <w:b/>
                <w:sz w:val="20"/>
              </w:rPr>
              <w:t>8. Hafta</w:t>
              <w:br/>
              <w:t>(Vize)</w:t>
            </w:r>
          </w:p>
        </w:tc>
        <w:tc>
          <w:tcPr>
            <w:tcW w:type="dxa" w:w="7632"/>
          </w:tcPr>
          <w:p>
            <w:r/>
            <w:r>
              <w:rPr>
                <w:rFonts w:ascii="Calibri" w:hAnsi="Calibri"/>
                <w:b w:val="0"/>
                <w:sz w:val="20"/>
              </w:rPr>
              <w:t>Projenin ilk 7 haftalık sürecinde gerçekleştirilen çalışmaların kapsamlı değerlendirilmesi yapılmıştır. Veri toplama ve önişleme pipeline'ı, teknik gösterge hesaplama, özellik mühendisliği ve derin öğrenme modellerinin (LSTM/GRU) geliştirilme süreçleri sunulmuş ve ara rapor teslim edilmiştir. Elde edilen ön sonuçlar tartışılmış ve ikinci dönem çalışma planı gözden geçirilmiştir.</w:t>
            </w:r>
          </w:p>
        </w:tc>
      </w:tr>
    </w:tbl>
    <w:tbl>
      <w:tblPr>
        <w:tblW w:type="auto" w:w="0"/>
        <w:tblLook w:firstColumn="1" w:firstRow="1" w:lastColumn="0" w:lastRow="0" w:noHBand="0" w:noVBand="1" w:val="04A0"/>
      </w:tblPr>
      <w:tblGrid>
        <w:gridCol w:w="4819"/>
        <w:gridCol w:w="4819"/>
      </w:tblGrid>
      <w:tr>
        <w:tc>
          <w:tcPr>
            <w:tcW w:type="dxa" w:w="1728"/>
          </w:tcPr>
          <w:p>
            <w:r/>
            <w:r>
              <w:rPr>
                <w:rFonts w:ascii="Calibri" w:hAnsi="Calibri"/>
                <w:b/>
                <w:sz w:val="20"/>
              </w:rPr>
              <w:t>9. Hafta</w:t>
            </w:r>
          </w:p>
        </w:tc>
        <w:tc>
          <w:tcPr>
            <w:tcW w:type="dxa" w:w="7632"/>
          </w:tcPr>
          <w:p>
            <w:r/>
            <w:r>
              <w:rPr>
                <w:rFonts w:ascii="Calibri" w:hAnsi="Calibri"/>
                <w:b w:val="0"/>
                <w:sz w:val="20"/>
              </w:rPr>
              <w:t>Random Forest sınıflandırma modeli geliştirilmiştir. BUY/SELL/HOLD üç sınıflı sinyal tahmini için model eğitilmiş, k-fold cross-validation ile doğrulanmıştır. Feature importance sıralaması çıkarılmış, en etkili özellikler belirlenmiştir. F1-score, precision, recall metrikleri ve confusion matrix raporları hazırlanmıştır.</w:t>
            </w:r>
          </w:p>
        </w:tc>
      </w:tr>
    </w:tbl>
    <w:tbl>
      <w:tblPr>
        <w:tblW w:type="auto" w:w="0"/>
        <w:tblLook w:firstColumn="1" w:firstRow="1" w:lastColumn="0" w:lastRow="0" w:noHBand="0" w:noVBand="1" w:val="04A0"/>
      </w:tblPr>
      <w:tblGrid>
        <w:gridCol w:w="4819"/>
        <w:gridCol w:w="4819"/>
      </w:tblGrid>
      <w:tr>
        <w:tc>
          <w:tcPr>
            <w:tcW w:type="dxa" w:w="1728"/>
          </w:tcPr>
          <w:p>
            <w:r/>
            <w:r>
              <w:rPr>
                <w:rFonts w:ascii="Calibri" w:hAnsi="Calibri"/>
                <w:b/>
                <w:sz w:val="20"/>
              </w:rPr>
              <w:t>10. Hafta</w:t>
            </w:r>
          </w:p>
        </w:tc>
        <w:tc>
          <w:tcPr>
            <w:tcW w:type="dxa" w:w="7632"/>
          </w:tcPr>
          <w:p>
            <w:r/>
            <w:r>
              <w:rPr>
                <w:rFonts w:ascii="Calibri" w:hAnsi="Calibri"/>
                <w:b w:val="0"/>
                <w:sz w:val="20"/>
              </w:rPr>
              <w:t>XGBoost gradient boosting modeli geliştirilmiş ve Random Forest ile karşılaştırmalı analiz yapılmıştır. Hiperparametre optimizasyonu (max_depth, learning_rate, n_estimators, subsample) gerçekleştirilmiştir. Classification report ve confusion matrix karşılaştırmaları tamamlanmıştır. En iyi performanslı model seçim gerekçesiyle belgelenmiştir.</w:t>
            </w:r>
          </w:p>
        </w:tc>
      </w:tr>
    </w:tbl>
    <w:tbl>
      <w:tblPr>
        <w:tblW w:type="auto" w:w="0"/>
        <w:tblLook w:firstColumn="1" w:firstRow="1" w:lastColumn="0" w:lastRow="0" w:noHBand="0" w:noVBand="1" w:val="04A0"/>
      </w:tblPr>
      <w:tblGrid>
        <w:gridCol w:w="4819"/>
        <w:gridCol w:w="4819"/>
      </w:tblGrid>
      <w:tr>
        <w:tc>
          <w:tcPr>
            <w:tcW w:type="dxa" w:w="1728"/>
          </w:tcPr>
          <w:p>
            <w:r/>
            <w:r>
              <w:rPr>
                <w:rFonts w:ascii="Calibri" w:hAnsi="Calibri"/>
                <w:b/>
                <w:sz w:val="20"/>
              </w:rPr>
              <w:t>11. Hafta</w:t>
            </w:r>
          </w:p>
        </w:tc>
        <w:tc>
          <w:tcPr>
            <w:tcW w:type="dxa" w:w="7632"/>
          </w:tcPr>
          <w:p>
            <w:r/>
            <w:r>
              <w:rPr>
                <w:rFonts w:ascii="Calibri" w:hAnsi="Calibri"/>
                <w:b w:val="0"/>
                <w:sz w:val="20"/>
              </w:rPr>
              <w:t>Stacking yöntemiyle Ensemble Meta-Model geliştirilmiştir. LSTM, GRU, Random Forest ve XGBoost modellerinin tahmin çıktıları birleştirilerek meta-learner (Logistic Regression) ile üst düzey karar mekanizması oluşturulmuştur. Ensemble modelin bireysel modellere göre performans artışı istatistiksel olarak doğrulanmıştır. Meta-inference modülü (meta_inference.py) geliştirilmiştir.</w:t>
            </w:r>
          </w:p>
        </w:tc>
      </w:tr>
    </w:tbl>
    <w:tbl>
      <w:tblPr>
        <w:tblW w:type="auto" w:w="0"/>
        <w:tblLook w:firstColumn="1" w:firstRow="1" w:lastColumn="0" w:lastRow="0" w:noHBand="0" w:noVBand="1" w:val="04A0"/>
      </w:tblPr>
      <w:tblGrid>
        <w:gridCol w:w="4819"/>
        <w:gridCol w:w="4819"/>
      </w:tblGrid>
      <w:tr>
        <w:tc>
          <w:tcPr>
            <w:tcW w:type="dxa" w:w="1728"/>
          </w:tcPr>
          <w:p>
            <w:r/>
            <w:r>
              <w:rPr>
                <w:rFonts w:ascii="Calibri" w:hAnsi="Calibri"/>
                <w:b/>
                <w:sz w:val="20"/>
              </w:rPr>
              <w:t>12. Hafta</w:t>
            </w:r>
          </w:p>
        </w:tc>
        <w:tc>
          <w:tcPr>
            <w:tcW w:type="dxa" w:w="7632"/>
          </w:tcPr>
          <w:p>
            <w:r/>
            <w:r>
              <w:rPr>
                <w:rFonts w:ascii="Calibri" w:hAnsi="Calibri"/>
                <w:b w:val="0"/>
                <w:sz w:val="20"/>
              </w:rPr>
              <w:t>Deep Reinforcement Learning ajanı geliştirilmiştir. PPO (Proximal Policy Optimization) algoritması kullanılarak otonom trading ajanı eğitilmiştir. OpenAI Gym uyumlu özel kripto trading ortamı tasarlanmış; gözlem uzayı (fiyat, göstergeler, portföy durumu) ve aksiyon uzayı (buy, sell, hold) tanımlanmıştır. Ödül fonksiyonu portföy getirisi ve risk metriklerine göre optimize edilmiştir.</w:t>
            </w:r>
          </w:p>
        </w:tc>
      </w:tr>
    </w:tbl>
    <w:tbl>
      <w:tblPr>
        <w:tblW w:type="auto" w:w="0"/>
        <w:tblLook w:firstColumn="1" w:firstRow="1" w:lastColumn="0" w:lastRow="0" w:noHBand="0" w:noVBand="1" w:val="04A0"/>
      </w:tblPr>
      <w:tblGrid>
        <w:gridCol w:w="4819"/>
        <w:gridCol w:w="4819"/>
      </w:tblGrid>
      <w:tr>
        <w:tc>
          <w:tcPr>
            <w:tcW w:type="dxa" w:w="1728"/>
          </w:tcPr>
          <w:p>
            <w:r/>
            <w:r>
              <w:rPr>
                <w:rFonts w:ascii="Calibri" w:hAnsi="Calibri"/>
                <w:b/>
                <w:sz w:val="20"/>
              </w:rPr>
              <w:t>13. Hafta</w:t>
            </w:r>
          </w:p>
        </w:tc>
        <w:tc>
          <w:tcPr>
            <w:tcW w:type="dxa" w:w="7632"/>
          </w:tcPr>
          <w:p>
            <w:r/>
            <w:r>
              <w:rPr>
                <w:rFonts w:ascii="Calibri" w:hAnsi="Calibri"/>
                <w:b w:val="0"/>
                <w:sz w:val="20"/>
              </w:rPr>
              <w:t>Backtesting motoru (backtester.py) ile tüm stratejilerin geçmiş veriler üzerinde kapsamlı testi gerçekleştirilmiştir. Sharpe oranı, maksimum drawdown, kazanma oranı (win rate), toplam getiri ve risk-getiri oranı metrikleriyle performans karşılaştırması yapılmıştır. Tüm modüllerin (veri pipeline, DL modeller, ML modeller, ensemble, RL ajanı, backtester) uçtan uca entegrasyonu tamamlanmıştır. Matplotlib ve Plotly tabanlı interaktif dashboard geliştirilmiştir.</w:t>
            </w:r>
          </w:p>
        </w:tc>
      </w:tr>
    </w:tbl>
    <w:tbl>
      <w:tblPr>
        <w:tblW w:type="auto" w:w="0"/>
        <w:tblLook w:firstColumn="1" w:firstRow="1" w:lastColumn="0" w:lastRow="0" w:noHBand="0" w:noVBand="1" w:val="04A0"/>
      </w:tblPr>
      <w:tblGrid>
        <w:gridCol w:w="4819"/>
        <w:gridCol w:w="4819"/>
      </w:tblGrid>
      <w:tr>
        <w:tc>
          <w:tcPr>
            <w:tcW w:type="dxa" w:w="1728"/>
          </w:tcPr>
          <w:p>
            <w:r/>
            <w:r>
              <w:rPr>
                <w:rFonts w:ascii="Calibri" w:hAnsi="Calibri"/>
                <w:b/>
                <w:sz w:val="20"/>
              </w:rPr>
              <w:t>14. Hafta</w:t>
              <w:br/>
              <w:t>(Final)</w:t>
            </w:r>
          </w:p>
        </w:tc>
        <w:tc>
          <w:tcPr>
            <w:tcW w:type="dxa" w:w="7632"/>
          </w:tcPr>
          <w:p>
            <w:r/>
            <w:r>
              <w:rPr>
                <w:rFonts w:ascii="Calibri" w:hAnsi="Calibri"/>
                <w:b w:val="0"/>
                <w:sz w:val="20"/>
              </w:rPr>
              <w:t>Projenin tüm aşamalarının kapsamlı sunumu ve nihai değerlendirmesi yapılmıştır. Proje raporu, teknik dokümantasyon ve sunum materyali tamamlanmıştır. LSTM, GRU, Random Forest, XGBoost, Ensemble ve PPO modellerinin karşılaştırmalı sonuçları sunulmuştur. Elde edilen bulguların kripto para piyasası bağlamında akademik yorumu yapılmış ve gelecek çalışma önerileri (transformer tabanlı modeller, çoklu borsa entegrasyonu, canlı trading modu) sunulmuştur.</w:t>
            </w:r>
          </w:p>
        </w:tc>
      </w:tr>
    </w:tbl>
    <w:p>
      <w:pPr>
        <w:spacing w:after="60" w:before="0"/>
      </w:pPr>
    </w:p>
    <w:p>
      <w:pPr>
        <w:spacing w:after="100" w:before="0"/>
      </w:pPr>
    </w:p>
    <w:p>
      <w:r>
        <w:br w:type="page"/>
      </w:r>
    </w:p>
    <w:p>
      <w:pPr>
        <w:spacing w:after="0" w:before="360"/>
      </w:pPr>
      <w:r>
        <w:rPr>
          <w:rFonts w:ascii="Arial" w:cs="Arial" w:eastAsia="Arial" w:hAnsi="Arial"/>
          <w:b/>
          <w:bCs/>
          <w:color w:val="1e3a5f"/>
          <w:sz w:val="28"/>
          <w:szCs w:val="28"/>
        </w:rPr>
        <w:t xml:space="preserve">Kaynaklar.  </w:t>
      </w:r>
    </w:p>
    <w:p>
      <w:pPr>
        <w:pBdr>
          <w:bottom w:val="single" w:color="1A56DB" w:sz="6" w:space="1"/>
        </w:pBdr>
        <w:spacing w:after="200" w:before="0"/>
      </w:pPr>
    </w:p>
    <w:p>
      <w:pPr>
        <w:spacing w:after="80"/>
      </w:pPr>
      <w:r>
        <w:rPr>
          <w:rFonts w:ascii="Arial" w:cs="Arial" w:eastAsia="Arial" w:hAnsi="Arial"/>
          <w:color w:val="374151"/>
          <w:sz w:val="20"/>
          <w:szCs w:val="20"/>
        </w:rPr>
        <w:t xml:space="preserve">[1]  Hochreiter, S., &amp; Schmidhuber, J. (1997). Long short-term memory. Neural Computation, 9(8), 1735–1780.</w:t>
      </w:r>
    </w:p>
    <w:p>
      <w:pPr>
        <w:spacing w:after="80"/>
      </w:pPr>
      <w:r>
        <w:rPr>
          <w:rFonts w:ascii="Arial" w:cs="Arial" w:eastAsia="Arial" w:hAnsi="Arial"/>
          <w:color w:val="374151"/>
          <w:sz w:val="20"/>
          <w:szCs w:val="20"/>
        </w:rPr>
        <w:t xml:space="preserve">[2]  Chen, T., &amp; Guestrin, C. (2016). XGBoost: A scalable tree boosting system. Proceedings of the 22nd ACM SIGKDD, 785–794.</w:t>
      </w:r>
    </w:p>
    <w:p>
      <w:pPr>
        <w:spacing w:after="80"/>
      </w:pPr>
      <w:r>
        <w:rPr>
          <w:rFonts w:ascii="Arial" w:cs="Arial" w:eastAsia="Arial" w:hAnsi="Arial"/>
          <w:color w:val="374151"/>
          <w:sz w:val="20"/>
          <w:szCs w:val="20"/>
        </w:rPr>
        <w:t xml:space="preserve">[3]  Breiman, L. (2001). Random forests. Machine Learning, 45(1), 5–32.</w:t>
      </w:r>
    </w:p>
    <w:p>
      <w:pPr>
        <w:spacing w:after="80"/>
      </w:pPr>
      <w:r>
        <w:rPr>
          <w:rFonts w:ascii="Arial" w:cs="Arial" w:eastAsia="Arial" w:hAnsi="Arial"/>
          <w:color w:val="374151"/>
          <w:sz w:val="20"/>
          <w:szCs w:val="20"/>
        </w:rPr>
        <w:t xml:space="preserve">[4]  Fang, F., ve ark. (2024). A Survey of Deep Learning Applications in Cryptocurrency. iScience / Cell Press. PMC10726249.</w:t>
      </w:r>
    </w:p>
    <w:p>
      <w:pPr>
        <w:spacing w:after="80"/>
      </w:pPr>
      <w:r>
        <w:rPr>
          <w:rFonts w:ascii="Arial" w:cs="Arial" w:eastAsia="Arial" w:hAnsi="Arial"/>
          <w:color w:val="374151"/>
          <w:sz w:val="20"/>
          <w:szCs w:val="20"/>
        </w:rPr>
        <w:t xml:space="preserve">[5]  Hossain, ve ark. (2024). FinBERT-BiLSTM: A Deep Learning Model for Predicting Volatile Cryptocurrency Market Prices. arXiv:2411.12748.</w:t>
      </w:r>
    </w:p>
    <w:p>
      <w:pPr>
        <w:spacing w:after="80"/>
      </w:pPr>
      <w:r>
        <w:rPr>
          <w:rFonts w:ascii="Arial" w:cs="Arial" w:eastAsia="Arial" w:hAnsi="Arial"/>
          <w:color w:val="374151"/>
          <w:sz w:val="20"/>
          <w:szCs w:val="20"/>
        </w:rPr>
        <w:t xml:space="preserve">[6]  Araci, D. T. (2019). FinBERT: Financial Sentiment Analysis with Pre-trained Language Models. arXiv:1908.10063.</w:t>
      </w:r>
    </w:p>
    <w:p>
      <w:pPr>
        <w:spacing w:after="80"/>
      </w:pPr>
      <w:r>
        <w:rPr>
          <w:rFonts w:ascii="Arial" w:cs="Arial" w:eastAsia="Arial" w:hAnsi="Arial"/>
          <w:color w:val="374151"/>
          <w:sz w:val="20"/>
          <w:szCs w:val="20"/>
        </w:rPr>
        <w:t xml:space="preserve">[7]  Ghadiri, Hajizadeh. (2025). Designing a Cryptocurrency Trading System with Deep RL Utilizing LSTM and XGBoost. Applied Soft Computing. doi:10.1016/j.asoc.2025.113029.</w:t>
      </w:r>
    </w:p>
    <w:p>
      <w:pPr>
        <w:spacing w:after="80"/>
      </w:pPr>
      <w:r>
        <w:rPr>
          <w:rFonts w:ascii="Arial" w:cs="Arial" w:eastAsia="Arial" w:hAnsi="Arial"/>
          <w:color w:val="374151"/>
          <w:sz w:val="20"/>
          <w:szCs w:val="20"/>
        </w:rPr>
        <w:t xml:space="preserve">[8]  McNally, S., Roche, J., &amp; Caton, S. (2018). Predicting the price of Bitcoin using machine learning. 26th Euromicro PDP, 339–343.</w:t>
      </w:r>
    </w:p>
    <w:p>
      <w:pPr>
        <w:spacing w:after="80"/>
      </w:pPr>
      <w:r>
        <w:rPr>
          <w:rFonts w:ascii="Arial" w:cs="Arial" w:eastAsia="Arial" w:hAnsi="Arial"/>
          <w:color w:val="374151"/>
          <w:sz w:val="20"/>
          <w:szCs w:val="20"/>
        </w:rPr>
        <w:t xml:space="preserve">[9]  Binance API Documentation. (2025). https://binance-docs.github.io/apidocs/spot/en/</w:t>
      </w:r>
    </w:p>
    <w:p>
      <w:pPr>
        <w:spacing w:after="80"/>
      </w:pPr>
      <w:r>
        <w:rPr>
          <w:rFonts w:ascii="Arial" w:cs="Arial" w:eastAsia="Arial" w:hAnsi="Arial"/>
          <w:color w:val="374151"/>
          <w:sz w:val="20"/>
          <w:szCs w:val="20"/>
        </w:rPr>
        <w:t xml:space="preserve">[10]  CoinGecko API Documentation. (2025). https://www.coingecko.com/en/api/documentation</w:t>
      </w:r>
    </w:p>
    <w:p>
      <w:pPr>
        <w:spacing w:after="80"/>
      </w:pPr>
      <w:r>
        <w:rPr>
          <w:rFonts w:ascii="Arial" w:cs="Arial" w:eastAsia="Arial" w:hAnsi="Arial"/>
          <w:color w:val="374151"/>
          <w:sz w:val="20"/>
          <w:szCs w:val="20"/>
        </w:rPr>
        <w:t xml:space="preserve">[11]  Murphy, J. J. (1999). Technical Analysis of the Financial Markets. New York Institute of Finance.</w:t>
      </w:r>
    </w:p>
    <w:p>
      <w:pPr>
        <w:spacing w:after="80"/>
      </w:pPr>
      <w:r>
        <w:rPr>
          <w:rFonts w:ascii="Arial" w:cs="Arial" w:eastAsia="Arial" w:hAnsi="Arial"/>
          <w:color w:val="374151"/>
          <w:sz w:val="20"/>
          <w:szCs w:val="20"/>
        </w:rPr>
        <w:t xml:space="preserve">[12]  Pedregosa, F., ve ark. (2011). Scikit-learn: Machine learning in Python. JMLR, 12, 2825–2830.</w:t>
      </w:r>
    </w:p>
    <w:p>
      <w:pPr>
        <w:spacing w:after="80"/>
      </w:pPr>
      <w:r>
        <w:rPr>
          <w:rFonts w:ascii="Arial" w:cs="Arial" w:eastAsia="Arial" w:hAnsi="Arial"/>
          <w:color w:val="374151"/>
          <w:sz w:val="20"/>
          <w:szCs w:val="20"/>
        </w:rPr>
        <w:t xml:space="preserve">[13]  Abadi, M., ve ark. (2016). TensorFlow: A system for large-scale machine learning. USENIX OSDI, 265–283.</w:t>
      </w:r>
    </w:p>
    <w:p>
      <w:pPr>
        <w:spacing w:after="80"/>
      </w:pPr>
      <w:r>
        <w:rPr>
          <w:rFonts w:ascii="Arial" w:cs="Arial" w:eastAsia="Arial" w:hAnsi="Arial"/>
          <w:color w:val="374151"/>
          <w:sz w:val="20"/>
          <w:szCs w:val="20"/>
        </w:rPr>
        <w:t xml:space="preserve">[14]  Chan, E. P. (2013). Algorithmic Trading: Winning Strategies and Their Rationale. John Wiley &amp; Sons.</w:t>
      </w:r>
    </w:p>
    <w:p>
      <w:pPr>
        <w:spacing w:after="80"/>
      </w:pPr>
      <w:r>
        <w:rPr>
          <w:rFonts w:ascii="Arial" w:cs="Arial" w:eastAsia="Arial" w:hAnsi="Arial"/>
          <w:color w:val="374151"/>
          <w:sz w:val="20"/>
          <w:szCs w:val="20"/>
        </w:rPr>
        <w:t xml:space="preserve">[15]  López de Prado, M. (2018). Advances in Financial Machine Learning. John Wiley &amp; Sons.</w:t>
      </w:r>
    </w:p>
    <w:p>
      <w:pPr>
        <w:spacing w:after="80"/>
      </w:pPr>
      <w:r>
        <w:rPr>
          <w:rFonts w:ascii="Arial" w:cs="Arial" w:eastAsia="Arial" w:hAnsi="Arial"/>
          <w:color w:val="374151"/>
          <w:sz w:val="20"/>
          <w:szCs w:val="20"/>
        </w:rPr>
        <w:t xml:space="preserve">[16]  Pardo, R. (2008). The Evaluation and Optimization of Trading Strategies (2nd ed.). John Wiley &amp; Sons.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Makine Öğrenmesi Tabanlı Kripto Para Trading Botu  |  Ahmet Yılmaz  |  23100011075</w:t>
    </w:r>
    <w:r>
      <w:rPr>
        <w:rFonts w:ascii="Arial" w:cs="Arial" w:eastAsia="Arial" w:hAnsi="Arial"/>
        <w:color w:val="9CA3AF"/>
        <w:sz w:val="16"/>
        <w:szCs w:val="16"/>
      </w:rPr>
      <w:t xml:space="preserve">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e320bae10b357d71dd2b39ccf0fe65d7835b5aa.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2026-03-05T21:54:37.420Z</dcterms:created>
  <dcterms:modified xsi:type="dcterms:W3CDTF">2026-03-05T21:54:37.422Z</dcterms:modified>
</cp:coreProperties>
</file>

<file path=docProps/custom.xml><?xml version="1.0" encoding="utf-8"?>
<Properties xmlns="http://schemas.openxmlformats.org/officeDocument/2006/custom-properties" xmlns:vt="http://schemas.openxmlformats.org/officeDocument/2006/docPropsVTypes"/>
</file>