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dataset analyzes customer performance by dividing 31,797 customers into 10 deciles, each representing approximately 10% of the total customer base. The analysis focuses on customer activity, revenue generation, and profitability. In total, customers generated 61,260 transactions, producing $325,600,660 in revenue and $156,016,135 in profit. On average, each customer spent $10,239.98 and generated $4,906.63 in profit, with an overall average order frequency (AOF) of 1.93 and average order value (AOV) of $5,315.06. The overall average profit margin is about 47.9%, indicating strong profitability.</w:t>
      </w:r>
    </w:p>
    <w:p w:rsidR="00000000" w:rsidDel="00000000" w:rsidP="00000000" w:rsidRDefault="00000000" w:rsidRPr="00000000" w14:paraId="00000002">
      <w:pPr>
        <w:spacing w:after="240" w:before="240" w:lineRule="auto"/>
        <w:rPr/>
      </w:pPr>
      <w:r w:rsidDel="00000000" w:rsidR="00000000" w:rsidRPr="00000000">
        <w:rPr>
          <w:rtl w:val="0"/>
        </w:rPr>
        <w:t xml:space="preserve">The first decile (top 10% of customers) demonstrates the highest engagement and value. These 3,180 customers generated 17,503 transactions, representing a large share of all transactions. Their average order frequency is 5.50, which is significantly higher than other groups. This indicates that the most valuable customers purchase much more frequently and contribute disproportionately to the company’s revenue and profit.</w:t>
      </w:r>
    </w:p>
    <w:p w:rsidR="00000000" w:rsidDel="00000000" w:rsidP="00000000" w:rsidRDefault="00000000" w:rsidRPr="00000000" w14:paraId="00000003">
      <w:pPr>
        <w:spacing w:after="240" w:before="240" w:lineRule="auto"/>
        <w:rPr/>
      </w:pPr>
      <w:r w:rsidDel="00000000" w:rsidR="00000000" w:rsidRPr="00000000">
        <w:rPr>
          <w:rtl w:val="0"/>
        </w:rPr>
        <w:t xml:space="preserve">In contrast, customer activity decreases steadily across lower deciles. For example, the second decile generated 8,703 transactions with an AOF of 2.74, almost half the frequency of the top group. By the tenth decile, customers completed only 3,270 transactions with an AOF close to 1.03, showing that these customers purchase only about once on average. This pattern demonstrates a typical customer concentration effect, where a small portion of customers drives a large portion of business activity.</w:t>
      </w:r>
    </w:p>
    <w:p w:rsidR="00000000" w:rsidDel="00000000" w:rsidP="00000000" w:rsidRDefault="00000000" w:rsidRPr="00000000" w14:paraId="00000004">
      <w:pPr>
        <w:spacing w:after="240" w:before="240" w:lineRule="auto"/>
        <w:rPr/>
      </w:pPr>
      <w:r w:rsidDel="00000000" w:rsidR="00000000" w:rsidRPr="00000000">
        <w:rPr>
          <w:rtl w:val="0"/>
        </w:rPr>
        <w:t xml:space="preserve">The gradual decline in transaction frequency across deciles indicates that customer engagement strongly influences revenue performance. Higher-value customers buy more frequently, which increases both revenue and profit. Meanwhile, lower-value segments contribute less to overall sales due to limited purchase frequency.</w:t>
      </w:r>
    </w:p>
    <w:p w:rsidR="00000000" w:rsidDel="00000000" w:rsidP="00000000" w:rsidRDefault="00000000" w:rsidRPr="00000000" w14:paraId="00000005">
      <w:pPr>
        <w:spacing w:after="240" w:before="240" w:lineRule="auto"/>
        <w:rPr/>
      </w:pPr>
      <w:r w:rsidDel="00000000" w:rsidR="00000000" w:rsidRPr="00000000">
        <w:rPr>
          <w:rtl w:val="0"/>
        </w:rPr>
        <w:t xml:space="preserve">Overall, the analysis highlights the importance of customer segmentation and retention strategies. Since the top deciles generate significantly more transactions and value, businesses should focus on retaining high-value customers and increasing engagement among middle-tier customers. Marketing strategies such as loyalty programs, personalized offers, and targeted promotions could help increase purchase frequency and move customers into higher-value segments.</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