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C41E" w14:textId="77777777" w:rsidR="00B523CD" w:rsidRPr="00B523CD" w:rsidRDefault="00B523CD" w:rsidP="00B523CD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Analisis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Komprehensif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 Rakyat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Republik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 Indonesia (DPR RI):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ID"/>
        </w:rPr>
        <w:t>Kerja</w:t>
      </w:r>
      <w:proofErr w:type="spellEnd"/>
    </w:p>
    <w:p w14:paraId="7E0F9E0B" w14:textId="77777777" w:rsidR="00B523CD" w:rsidRPr="00B523CD" w:rsidRDefault="00B523CD" w:rsidP="00B523C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Bagian I: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Pendahuluan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Landasan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Konstitusional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DPR RI</w:t>
      </w:r>
    </w:p>
    <w:p w14:paraId="382F0275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1.1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Tinjauan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Tiga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Utama DPR RI</w:t>
      </w:r>
    </w:p>
    <w:p w14:paraId="7E7E2315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Rakyat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 (DPR RI),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rakyat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memegang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sentral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ketatanegaraan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Kekuasaannya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monolitik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diejawantahkan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konstitusional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fundamental: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pengawasan.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pilar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menopang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jalannya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roda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4814E200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menegaskan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pemegang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kekuasaan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(UU).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mencakup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Nasional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Rancangan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(RUU),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tercapainya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Presiden.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</w:t>
      </w:r>
    </w:p>
    <w:p w14:paraId="642F0020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Kedua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Rancangan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Pendapatan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(RAPBN)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diajukan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Presiden.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sumber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sejalan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pembangunan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rakyat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mencakup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asumsi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makro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postur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APBN,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lembaga.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6</w:t>
      </w:r>
    </w:p>
    <w:p w14:paraId="7A24BB91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mandat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mengawasi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APBN,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pemerintah.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koridor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disepakati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bertanggung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jawab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penggunaan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9</w:t>
      </w:r>
    </w:p>
    <w:p w14:paraId="6E3C91C0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berjalan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terpisah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hampa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Sebaliknya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ketiganya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saling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orkestrasi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kompleks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(AKD).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menopang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fungsi-fungsi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internal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dirancang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diperkuat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dieksekusi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sektoral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diperkuat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(BAKN)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lanjut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audit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</w:p>
    <w:p w14:paraId="24B05821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Interkonektivitas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kunci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kesehatan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IX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diharmonisasi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selalu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pembiayaan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disinkronkan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Setelah 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diimplementasikan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pelaksanaannya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diawasi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IX,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ditelaah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Pemeriksa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(BPK).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demikian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jejaring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ketergantungan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-AKD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mandat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konstitusionalnya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C31BAB0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1.2 Dasar Hukum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DPR RI dan Alat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Dewan</w:t>
      </w:r>
    </w:p>
    <w:p w14:paraId="3AD3BD77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Legitimasi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operasional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Dewannya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bersumber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hierarki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perundang-undangan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kokoh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Landasan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Dasar Negara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1945 (UUD 1945),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eksplisit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eksistensi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fungsi-fungsi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20A,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21,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22D,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23.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20A,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misalnya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menyebutkan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pengawasan.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23E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khususnya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BAKN,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menindaklanjuti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pemeriksaan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BPK.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</w:p>
    <w:p w14:paraId="68185BAA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Turunan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UUD 1945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Nomor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17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2014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Majelis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Permusyawaratan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Rakyat,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Rakyat,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Daerah, dan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Rakyat Daerah (UU MD3),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perubahannya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No. 2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2018.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MD3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"kitab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suci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operasional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merinci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detail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mengenai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kedudukan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Mahkamah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(MKD).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11</w:t>
      </w:r>
    </w:p>
    <w:p w14:paraId="09817602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lanjut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DPR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Tata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sehari-hari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persidangan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13</w:t>
      </w:r>
    </w:p>
    <w:p w14:paraId="4698D7C2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dicatat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statis.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Dinamika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perubahan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UU MD3,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mencerminkan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pergeseran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keseimbangan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kekuatan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Perubahan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pemilihan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paket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proporsional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perolehan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kursi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penguatan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penghidupan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kembali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BAKN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2018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bukanlah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perubahan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administratif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Peristiwa-peristiwa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manifestasi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intens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mengakomodasi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mendistribusikan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demikian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produk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sekaligus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arena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kontestasi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di mana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perubahan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implikasi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signifikan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kekuasaan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Senayan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709A0DAF" w14:textId="77777777" w:rsidR="00B523CD" w:rsidRPr="00B523CD" w:rsidRDefault="00B523CD" w:rsidP="00B523C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Bagian II: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dan Forum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Keputusan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Tertinggi</w:t>
      </w:r>
      <w:proofErr w:type="spellEnd"/>
    </w:p>
    <w:p w14:paraId="610BD51A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2.1: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DPR RI</w:t>
      </w:r>
    </w:p>
    <w:p w14:paraId="1DFB4141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2.1.1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Komposisi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Proses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Pemilihan</w:t>
      </w:r>
      <w:proofErr w:type="spellEnd"/>
    </w:p>
    <w:p w14:paraId="4B03294A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Pucuk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kepemimpinan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dipegang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organ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kolegial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empat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orang Wakil Ketua.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pengisian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MD3,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dialokasikan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urutan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perolehan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kursi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terbanyak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pemilihan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legislatif.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partai-partai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mendapatkan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mandat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rakyat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representasi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5353CB15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periode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2024-2029,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mencerminkan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2024. Puan Maharani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Demokrasi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Perjuangan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(PDIP),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menduduki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didampingi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empat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Wakil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Adies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Kadir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Golkar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Sufmi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Dasco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Ahmad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Gerindra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Mustopa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NasDem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Cucun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Ahmad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Syamsurijal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Kebangkitan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(PKB).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18</w:t>
      </w:r>
    </w:p>
    <w:p w14:paraId="50A2BE3E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pemilihan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penetapan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pelantikan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awalnya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dipimpin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termuda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berbeda.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kursi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terbanyak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mengajukan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calon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nama-nama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definitif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Paripurna.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mengucapkan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sumpah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janji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dipandu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Mahkamah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Agung.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</w:p>
    <w:p w14:paraId="0E6933A8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2.1.2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Peran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Koordinatif</w:t>
      </w:r>
      <w:proofErr w:type="spellEnd"/>
    </w:p>
    <w:p w14:paraId="74EF736B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luas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melampaui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seremonial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memimpin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sidang-sidang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menyimpulkan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menyusun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rencana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bertindak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juru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resmi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lembaga.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22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mewakili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berhubungan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lain,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konsultasi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mewakili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diperlukan.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</w:t>
      </w:r>
    </w:p>
    <w:p w14:paraId="212BC356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Peran yang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koordinasi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bertanggung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jawab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menyinergikan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agenda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materi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22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mengoptimalkan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periode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2024-2029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diperkenalkan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gram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para Wakil</w:t>
      </w:r>
      <w:proofErr w:type="gram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meliputi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26F190A3" w14:textId="77777777" w:rsidR="00B523CD" w:rsidRPr="00B523CD" w:rsidRDefault="00B523CD" w:rsidP="00B523C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Wakil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Koreku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mengoordinasikan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XI,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XII,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XIII,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), dan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 (BAKN).</w:t>
      </w:r>
    </w:p>
    <w:p w14:paraId="1C468141" w14:textId="77777777" w:rsidR="00B523CD" w:rsidRPr="00B523CD" w:rsidRDefault="00B523CD" w:rsidP="00B523C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Wakil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Keamanan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Korpolkam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mengoordinasikan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III,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Sama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(BKSAP), dan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57D94B64" w14:textId="77777777" w:rsidR="00B523CD" w:rsidRPr="00B523CD" w:rsidRDefault="00B523CD" w:rsidP="00B523C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Wakil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Industri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Pembangunan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Korinbang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mengoordinasikan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IV,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VII.</w:t>
      </w:r>
    </w:p>
    <w:p w14:paraId="462E1EAF" w14:textId="77777777" w:rsidR="00B523CD" w:rsidRPr="00B523CD" w:rsidRDefault="00B523CD" w:rsidP="00B523C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Wakil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Kesejahteraan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Rakyat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Korkestra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mengoordinasikan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VIII,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IX,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X.</w:t>
      </w:r>
    </w:p>
    <w:p w14:paraId="725BF3DE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pembagian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administratif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formalisasi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 (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sphere of influence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partai-partai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menduduki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Seorang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Wakil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Wakil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Koreku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sentral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gatekeeper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ekonomi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mengalir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badan-badan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bawah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koordinasinya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menuju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DPR. Hal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signifikan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penentuan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pemangku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eksternal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lobi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cukup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memperhitungkan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dinamika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koordinator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hierarki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informal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puncak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realitas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terlihat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pembacaan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daftar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standar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594"/>
        <w:gridCol w:w="1167"/>
        <w:gridCol w:w="2368"/>
        <w:gridCol w:w="2719"/>
      </w:tblGrid>
      <w:tr w:rsidR="00820123" w:rsidRPr="00B523CD" w14:paraId="09870F2D" w14:textId="77777777" w:rsidTr="00B523C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772C0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A0731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Nama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2BBAB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Fraksi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652EE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Bidang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Koordinasi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85D10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AKD yang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Dikoordinasikan</w:t>
            </w:r>
            <w:proofErr w:type="spellEnd"/>
          </w:p>
        </w:tc>
      </w:tr>
      <w:tr w:rsidR="00820123" w:rsidRPr="00B523CD" w14:paraId="37DADDFE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DD517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Ketua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DPR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C49F7C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Puan Maharani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72081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PDI-P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6C125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Mengoordinasikan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Seluruh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Bidang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C5879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Seluruh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AKD</w:t>
            </w:r>
          </w:p>
        </w:tc>
      </w:tr>
      <w:tr w:rsidR="00820123" w:rsidRPr="00B523CD" w14:paraId="56B02A38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3306A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Wakil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Ketua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DPR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E535DC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Adies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Kadir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03394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Golkar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79BDE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Koordinator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Bidang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Ekonomi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Keuangan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Koreku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36B18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XI,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XII,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XIII, Badan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Anggaran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Banggar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), Badan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Akuntabilitas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Keuangan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Negara (BAKN)</w:t>
            </w:r>
          </w:p>
        </w:tc>
      </w:tr>
      <w:tr w:rsidR="00820123" w:rsidRPr="00B523CD" w14:paraId="4F11DDDC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09084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Wakil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Ketua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DPR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C5008E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Sufmi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Dasco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Ahmad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310F0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Gerindra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9DC0B9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Koordinator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Bidang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Politik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Keamanan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Korpolkam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744A9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I,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II,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III, Badan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Kerja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Sama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Antar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Parlemen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(BKSAP), Badan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Legislasi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Baleg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</w:t>
            </w:r>
          </w:p>
        </w:tc>
      </w:tr>
      <w:tr w:rsidR="00820123" w:rsidRPr="00B523CD" w14:paraId="0B5F6A0C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793249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Wakil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Ketua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DPR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B13E7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Saan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Mustopa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768A6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NasDem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C67928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Koordinator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Bidang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Industri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dan Pembangunan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Korinbang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2A6A2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IV,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V,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VI,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VII, Badan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Aspirasi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Masyarakat (BAM)</w:t>
            </w:r>
          </w:p>
        </w:tc>
      </w:tr>
      <w:tr w:rsidR="00820123" w:rsidRPr="00B523CD" w14:paraId="11031DF5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415FD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Wakil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Ketua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DPR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C7DA1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Cucun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Ahmad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Syamsurizal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C407C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2BB52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Koordinator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Bidang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Kesejahteraan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Rakyat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Korkestra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936AC" w14:textId="77777777" w:rsidR="00820123" w:rsidRPr="00B523CD" w:rsidRDefault="00820123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VIII,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IX,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Komisi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X</w:t>
            </w:r>
          </w:p>
        </w:tc>
      </w:tr>
    </w:tbl>
    <w:p w14:paraId="193C26D2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2.2: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Paripurna</w:t>
      </w:r>
      <w:proofErr w:type="spellEnd"/>
    </w:p>
    <w:p w14:paraId="33AA0E4C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2.2.1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Kedudukan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Sifat</w:t>
      </w:r>
    </w:p>
    <w:p w14:paraId="1DF34271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forum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DPR RI.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sinilah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berkumpul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final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produk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Agenda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beragam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penetapan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APBN,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kinerja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penugasan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isu-isu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permohonan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calon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diajukan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Presiden.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24</w:t>
      </w:r>
    </w:p>
    <w:p w14:paraId="1848B1CF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konteks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perbedaan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konseptual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Meskipun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bergantian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keduanya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nuansa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berbeda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merujuk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forum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reguler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agenda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rutin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kedewanan.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24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</w:p>
    <w:p w14:paraId="37DA13FD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luas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formal,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MPR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melibatkan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pidato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kenegaraan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forum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pertanggungjawaban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lembaga-lembaga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lama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signifikansi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konstitusional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mendalam.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Pemahaman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menganalisis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konteks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bobot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</w:p>
    <w:p w14:paraId="443D96D1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2.2.2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Keputusan</w:t>
      </w:r>
    </w:p>
    <w:p w14:paraId="09CFBBD3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berjenjang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Prinsip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dipegang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mencapai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mufakat.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diupayakan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diambil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konsensus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hadir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Namun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mufakat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tercapai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upaya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maksimal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pemungutan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(voting)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ditempuh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diambil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terbanyak.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28</w:t>
      </w:r>
    </w:p>
    <w:p w14:paraId="016556B6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puncak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serangkaian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panjang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alot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rendah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,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mufakat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diumumkan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sesungguhnya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dicapai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lobi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intensif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forum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tertutup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komunikasi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informal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panggung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memformalkan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kesepakatan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7BC3B6B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2.2.3 Alur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Pengesahan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Undang-Undang</w:t>
      </w:r>
      <w:proofErr w:type="spellEnd"/>
    </w:p>
    <w:p w14:paraId="7B402D4B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Pengesahan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akhir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Alur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mengikuti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68168F24" w14:textId="77777777" w:rsidR="00B523CD" w:rsidRPr="00B523CD" w:rsidRDefault="00B523CD" w:rsidP="00B523C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Perencanaan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inisiatif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DPD,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dahulu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dimasukkan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Nasional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disusun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Baleg.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11</w:t>
      </w:r>
    </w:p>
    <w:p w14:paraId="447E4819" w14:textId="77777777" w:rsidR="00B523CD" w:rsidRPr="00B523CD" w:rsidRDefault="00B523CD" w:rsidP="00B523C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Tingkat I: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ditugaskan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misalnya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Gabungan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daftar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inventarisasi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(DIM)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wakil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pemerintah.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29</w:t>
      </w:r>
    </w:p>
    <w:p w14:paraId="3BA0AFC3" w14:textId="77777777" w:rsidR="00B523CD" w:rsidRPr="00B523CD" w:rsidRDefault="00B523CD" w:rsidP="00B523C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Tingkat II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disetujui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Tingkat I,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dibawa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Agenda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mendengarkan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akhir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diakhiri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permintaan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hadir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mengesahkan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27</w:t>
      </w:r>
    </w:p>
    <w:p w14:paraId="1E83AD06" w14:textId="77777777" w:rsidR="00B523CD" w:rsidRPr="00B523CD" w:rsidRDefault="00B523CD" w:rsidP="00B523C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Pengesahan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diserahkan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membubuhkan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tanda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Apabila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paling lama 30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sejak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Presiden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menandatangani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otomatis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wajib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diundangkan.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29</w:t>
      </w:r>
    </w:p>
    <w:p w14:paraId="3C918936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Dari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perspektif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forum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administratif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panggung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memformalkan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mengumumkan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kesepakatan-kesepakatan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dicapai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belakang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"—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yakni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lobi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Aksi-aksi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interupsi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penyampaian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berapi-api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walk-out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Tindakan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mengindikasikan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bersangkutan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gagal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memperjuangkan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kepentingannya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sebelumnya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ingin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penolakannya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konstituennya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649A1C7" w14:textId="77777777" w:rsidR="00B523CD" w:rsidRPr="00B523CD" w:rsidRDefault="00B523CD" w:rsidP="00B523C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Bagian III: Alat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Tetap</w:t>
      </w:r>
      <w:proofErr w:type="spellEnd"/>
    </w:p>
    <w:p w14:paraId="41D01BDF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3.1: 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)</w:t>
      </w:r>
    </w:p>
    <w:p w14:paraId="67CA05E9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3.1.1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Keanggotaan</w:t>
      </w:r>
      <w:proofErr w:type="spellEnd"/>
    </w:p>
    <w:p w14:paraId="4C51BBEC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RI.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Dasar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MD3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Tata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dirancang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miniatur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parlemen.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21</w:t>
      </w:r>
    </w:p>
    <w:p w14:paraId="76A3255F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Keunikan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terletak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ketentuan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ex-officio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jabatannya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Bamus.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Hal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kesinambungan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otoritas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pengambilan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menyangkut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agenda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6BDDA924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3.1.2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Wewenang</w:t>
      </w:r>
      <w:proofErr w:type="spellEnd"/>
    </w:p>
    <w:p w14:paraId="31AEBF31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formal,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agenda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persidangan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pendek.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jadwal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acara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rapat-rapat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perkiraan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dibutuhkan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menyelesaikan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merekomendasikan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Khusus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Paripurna.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31</w:t>
      </w:r>
    </w:p>
    <w:p w14:paraId="17E9910C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garis-garis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menyangkut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keseluruhan.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memutuskan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mana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ditugaskan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tertentu.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</w:p>
    <w:p w14:paraId="766E2F74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3.1.3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Peran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Strategis</w:t>
      </w:r>
      <w:proofErr w:type="spellEnd"/>
    </w:p>
    <w:p w14:paraId="7C1F7AE2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tugas-tugas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administratifnya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memegang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political clearing house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DPR. Karena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komposisinya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 facto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forum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lobi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sinilah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keputusan-keputusan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internal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sebelum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diformalkan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EBA3925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Keputusan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mengenai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mana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diprioritaskan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lama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AKD mana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layak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agenda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semuanya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dimatangkan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forum Bamus.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Kemampuannya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mengendalikan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agenda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292F22D3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gatekeeper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DPR.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usulan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 yang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mandek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kunjung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jadwal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disebabkan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menghadapi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penolakan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dinamika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kunci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lain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terhambat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kejelasan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penjadwalan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pusat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057BF17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3.2: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(I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s.d.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XIII)</w:t>
      </w:r>
    </w:p>
    <w:p w14:paraId="114A7EF2" w14:textId="77777777" w:rsidR="00B523CD" w:rsidRPr="00B523CD" w:rsidRDefault="00B523CD" w:rsidP="00B523CD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ujung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tombak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fungsi-fungsi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mitra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jelas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eksekutif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Berikut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standar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</w:t>
      </w:r>
    </w:p>
    <w:p w14:paraId="71F4B61E" w14:textId="77777777" w:rsidR="00B523CD" w:rsidRPr="00B523CD" w:rsidRDefault="00B523CD" w:rsidP="00B523C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Dasar Hukum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UU MD3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DPR.</w:t>
      </w:r>
    </w:p>
    <w:p w14:paraId="53FBA38B" w14:textId="77777777" w:rsidR="00B523CD" w:rsidRPr="00B523CD" w:rsidRDefault="00B523CD" w:rsidP="00B523C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Ruang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Lingkup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membidangi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pertahanan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negeri,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komunikasi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intelijen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Ruang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7BDF511" w14:textId="77777777" w:rsidR="00B523CD" w:rsidRPr="00B523CD" w:rsidRDefault="00B523CD" w:rsidP="00B523C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Daftar Mitra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non-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(LPNK)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mitra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Kementerian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Pertahanan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Kementerian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Negeri, Kementerian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Komunikasi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, TNI, dan BIN.</w:t>
      </w:r>
    </w:p>
    <w:p w14:paraId="4D6F8AC1" w14:textId="77777777" w:rsidR="00B523CD" w:rsidRPr="00B523CD" w:rsidRDefault="00B523CD" w:rsidP="00B523C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Khas: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(Raker)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menteri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(RDP)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pejabat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eselon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(RDPU)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pakar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daerah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negeri.</w:t>
      </w:r>
    </w:p>
    <w:p w14:paraId="4B2AF870" w14:textId="77777777" w:rsidR="00B523CD" w:rsidRPr="00B523CD" w:rsidRDefault="00B523CD" w:rsidP="00B523C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Ditangani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isu-isu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implementasi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988115C" w14:textId="77777777" w:rsidR="00820123" w:rsidRPr="00FA7E25" w:rsidRDefault="00820123" w:rsidP="00820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Memahami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Struktur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Peran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Komisi-Komisi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DPR RI 2024–2029</w:t>
      </w:r>
    </w:p>
    <w:p w14:paraId="240EF760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(DPR RI)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memegang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ketatanegaraan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amanat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Dasar 1945,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fundamental: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penetapan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Belanja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Negara/APBN),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jalannya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disahkan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jantung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berdetak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ruang-ruang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(AKD)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permanen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ujung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tombak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dewan.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sinilah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dibedah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dinegosiasikan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disempurnakan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ditelaah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rinci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dikaji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diawasi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efektivitas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komisi-komisinya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34E880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keanggotaan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2024–2029,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11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13.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Penyesuaian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nomenklatur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kabinet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Prabowo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Subianto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menyelaraskan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Langkah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merefleksikan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efektivitas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002ED4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Pertahanan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Negeri,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Komunikasi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Intelijen</w:t>
      </w:r>
      <w:proofErr w:type="spellEnd"/>
    </w:p>
    <w:p w14:paraId="7C1150E1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MPR, DPR, DPD, dan DPRD (UU MD3),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Tertib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vital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kedaulatan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negara: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Kemkominfo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Panglima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Indonesia (TNI),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Intelijen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(BIN),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Sandi Negara (BSSN), Lembaga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Lemhannas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Bakamla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Wantannas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ranah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independen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Penyiaran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(KPI) Pusat,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(KI) Pusat, dan Lembaga Sensor Film (LSF).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(RUU)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ratifikasi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perjanjian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penyiaran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menelaah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(RKP)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Kementerian/Lembaga (RKA-KL)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usulan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memadai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modernisasi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alutsista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diplomasi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menindaklanjuti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(BPK).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APBN,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isu-isu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diplomasi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Indonesia.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kewenangan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(fit and proper test)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Panglima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TNI,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BIN, Duta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KPI, KI Pusat, dan LSF.</w:t>
      </w:r>
    </w:p>
    <w:p w14:paraId="3F58CE16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II: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Negeri,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Otonomi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Daerah,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Aparatur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Agraria</w:t>
      </w:r>
      <w:proofErr w:type="spellEnd"/>
    </w:p>
    <w:p w14:paraId="4CE6EFB1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perundangan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tata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aparatur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dan reformasi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birokrasi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Kemendagri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Agraria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Ruang/Badan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(Kementerian ATR/BPN), dan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Pendayagunaan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Aparatur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dan Reformasi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Birokrasi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(Kementerian PAN-RB).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(KPU),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Bawaslu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Kehormatan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(DKPP).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lainnya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Kepegawaian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(BKN), Lembaga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(LAN), Ombudsman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Indonesia, Badan Nasional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Perbatasan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(BNPP),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Arsip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(ANRI),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Otorita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Ibu Kota Nusantara (OIKN).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memegang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pelayanan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aparatur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sipil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(ASN),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pemekaran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penelaahan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RKP dan RKA-KL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reforma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agraria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menindaklanjuti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BPK.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memonitor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mengawasi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netralitas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sengketa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pelayanan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Ombudsman, KPU,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Bawaslu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864100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III: Hukum,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Asasi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</w:p>
    <w:p w14:paraId="037885D4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(HAM),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2024-2029,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fokusnya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dipertajam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pilar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peradilan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pidana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Indonesia,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Kejaksaan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Agung,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Kepolisian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Polri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Pemberantasan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Korupsi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(KPK).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Pusat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Pelaporan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(PPATK),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Narkotika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(BNN),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Mahkamah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Agung (MA),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Mahkamah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(MK),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Yudisial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(KY).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Kemitraan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III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rantai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Kitab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Hukum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Pidana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(KUHP), RUU Kitab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Hukum Acara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Pidana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(KUHAP),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Kejaksaan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Kepolisian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pemberantasan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korupsi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terorisme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menelaah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penyelidikan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peradilan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menindaklanjuti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BPK.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intensif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Kapolri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Jaksa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Agung,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KPK,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kasus-kasus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wewenang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Hakim Agung, Hakim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KPK dan KY,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gerbang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penjaga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B2CDEA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IV: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Pertanian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Kehutanan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Kelautan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Pangan</w:t>
      </w:r>
      <w:proofErr w:type="spellEnd"/>
    </w:p>
    <w:p w14:paraId="039250D2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IV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kelestarian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kehutanan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perikanan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kementerian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Kehutanan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(KLHK), dan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Perikanan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(KKP).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IV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penyangga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Perusahaan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Urusan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Logistik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Bulog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Gambut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Mangrove (BRGM),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Bapanas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Kemitraan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mengawal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sektor-sektor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petani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nelayan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ketersediaan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Nelayan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program-program vital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subsidi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pupuk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benih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unggul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peremajaan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illegal fishing,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akuntabilitas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BPK.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pupuk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kebakaran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karhutla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perikanan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terdepan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menyuarakan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petani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nelayan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hidupnya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agraris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maritim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332E5B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Infrastruktur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Transportasi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Pembangunan Daerah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Tertinggal</w:t>
      </w:r>
      <w:proofErr w:type="spellEnd"/>
    </w:p>
    <w:p w14:paraId="09861707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sektor-sektor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urat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konektivitas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transmigrasi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bidang-bidang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meteorologi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klimatologi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geofisika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pertolongan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(SAR).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Perumahan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(PUPR),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Perhubungan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Kemenhub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Pembangunan Daerah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Transmigrasi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Kemendes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PDTT),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Perumahan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Kawasan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Permukiman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Meteorologi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Klimatologi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Geofisika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(BMKG) dan Badan Nasional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Pertolongan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Basarnas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sangat fundamental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Jalan,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Perkeretaapian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RUU Jasa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memegang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menyetujui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proyek-proyek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(PSN),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tol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bandara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pelabuhan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dana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menyentuh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pedesaan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efektivitas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daerah-daerah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terdepan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(3T).</w:t>
      </w:r>
    </w:p>
    <w:p w14:paraId="782E2355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Perdagangan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Investasi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Persaingan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Usaha, dan BUMN</w:t>
      </w:r>
    </w:p>
    <w:p w14:paraId="1D0E7223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pilar-pilar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UKM,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persaingan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Usaha Milik Negara (BUMN).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Kemendag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Usaha Kecil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BUMN.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regulator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(BPKN),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Persaingan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Usaha (KPPU),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Pengusahaan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Kawasan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Pelabuhan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Batam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Batam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Pengusahaan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Kawasan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Sabang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(BPKS).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dan dunia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Larangan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Monopoli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Persaingan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Usaha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persetujuan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privatisasi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BUMN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ratifikasi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perjanjian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kementerian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persetujuan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usulan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Penyertaan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Modal Negara (PMN)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BUMN.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ekspor-impor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domestik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BUMN,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BUMN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negara.</w:t>
      </w:r>
    </w:p>
    <w:p w14:paraId="4E3D5EBD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VII: Perindustrian,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Kreatif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dan UMKM</w:t>
      </w:r>
    </w:p>
    <w:p w14:paraId="23685114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nomenklaturnya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2024-2029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sektor-sektor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penggerak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kerakyatan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perindustrian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mikro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(UMKM).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Perindustrian,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Usaha Kecil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standardisasi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penyiaran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Standardisasi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(BSN), LPP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Televisi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(TVRI), LPP Radio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(RRI), dan LKBN Antara.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destinasi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kekayaan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intelektual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UMKM.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revitalisasi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promosi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pembiayaan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UMKM.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Tingkat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(TKDN),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efektivitas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promosi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pariwisata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program-program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UMKM agar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sasaran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FB2CA0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VIII: Agama, Sosial,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Kebencanaan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Pemberdayaan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Perempuan</w:t>
      </w:r>
    </w:p>
    <w:p w14:paraId="05EBF775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VIII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menyentuh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aspek-aspek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kemasyarakatan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urusan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penanggulangan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perempuan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Agama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Kemenag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), Kementerian Sosial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Kemensos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Perempuan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Anak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KemenPPPA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VIII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Nasional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Penanggulangan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(BNPB), Badan Amil Zakat Nasional (BAZNAS),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Wakaf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(BWI),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Anak Indonesia (KPAI),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Haji (BPKH), dan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Halal (BPJPH).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Ibadah Haji dan Umrah,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Halal,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Kekerasan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Seksual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Penanggulangan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Ibadah Haji (BPIH)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tahunnya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intensif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Kemenag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BPKH.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rehabilitasi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pasca-bencana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perempuan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menonjol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ibadah haji,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Arab Saudi.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VIII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mengawasi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sasaran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korban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kasus-kasus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kekerasan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perempuan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80E466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IX: Kesehatan,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Ketenagakerjaan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Sosial</w:t>
      </w:r>
    </w:p>
    <w:p w14:paraId="13C6ECEE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IX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ketenagakerjaan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ketenagakerjaan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Kesehatan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Kemenkes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Ketenagakerjaan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Kemenaker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Kependudukan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Berencana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(BKKBN),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(BP2MI),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(BPOM),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operator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BPJS Kesehatan dan BPJS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Ketenagakerjaan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kabinet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IX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Gizi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IX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Kesehatan (Omnibus Law),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Sosial Nasional (SJSN),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IX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minimal 5%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amanat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iuran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Jaminan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Kesehatan Nasional (JKN),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mengalokasikan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pelayanan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sakit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pandemi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wabah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penyakit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peredaran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vaksin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penyelesaian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sengketa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industrial,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IX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BPJS Kesehatan dan BPJS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Ketenagakerjaan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7C3210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X: Pendidikan,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Riset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Olahraga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Kebudayaan</w:t>
      </w:r>
      <w:proofErr w:type="spellEnd"/>
    </w:p>
    <w:p w14:paraId="24997438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memegang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(SDM)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olahraga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eksplisit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sains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nomenklatur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kabinet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Pendidikan Dasar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Kementerian Pendidikan Tinggi, Sains,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Pemuda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Olahraga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Kemenpora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(BRIN), dan Badan Pusat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(BPS) yang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pilar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SDM,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 Nasional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Sisdiknas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RUU Pendidikan Tinggi,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Keolahragaan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perdebatan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mengawal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20% APBN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(BOS), Program Indonesia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(PIP),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beasiswa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pendidikan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pembinaan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atlet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pelestarian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cagar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Merdeka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BRIN,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kontingen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ajang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olahraga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warisan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0C4B1B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XI: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Perencanaan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Pembangunan,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Jasa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Keuangan</w:t>
      </w:r>
      <w:proofErr w:type="spellEnd"/>
    </w:p>
    <w:p w14:paraId="28AA1E95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jantung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fiskal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moneter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moneter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otoritas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Kemenkeu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Pembangunan Nasional/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Bappenas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bank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Bank Indonesia (BI),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Otoritas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Jasa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(OJK).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Lembaga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Penjamin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(LPS),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Pembangunan (BPKP), Lembaga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/Jasa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(LKPP),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BPK.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makro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APBN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tahunnya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Penguatan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(P2SK),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Pusat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Daerah (HKPD),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 dan OJK.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satu-satunya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postur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makro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target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defisit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Menteri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OJK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tukar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rupiah,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modal.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kewenangan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kepatutan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Komisioner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OJK dan LPS.</w:t>
      </w:r>
    </w:p>
    <w:p w14:paraId="2163F074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XII: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Sumber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Mineral,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Hidup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Investasi</w:t>
      </w:r>
      <w:proofErr w:type="spellEnd"/>
    </w:p>
    <w:p w14:paraId="120C6012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2024–2029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komisi-komisi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tajam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Mineral (ESDM),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Mineral (ESDM),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IV dan VII),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Koordinasi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Penanaman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Modal (BKPM).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Usaha Hulu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Gas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Bumi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(SKK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(BPH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Dewan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(DEN),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Tenaga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Nuklir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(BAPETEN), dan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Geospasial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(BIG).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memegang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sangat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(EBT),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Mineral dan Batubara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Minerba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migas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smelter,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rehabilitasi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pertambangan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difokuskan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lifting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gas,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hilirisasi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nikel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komoditas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pertambangan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komitmen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realisasinya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CE426A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Komisi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XIII: Reformasi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Regulasi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Hukum, dan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Asasi</w:t>
      </w:r>
      <w:proofErr w:type="spellEnd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</w:p>
    <w:p w14:paraId="26D6DF56" w14:textId="77777777" w:rsidR="00820123" w:rsidRPr="00FA7E25" w:rsidRDefault="00820123" w:rsidP="0082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XIII DPR RI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2024–2029,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mandat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mengawal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reformasi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kelembagaan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Ruang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reformasi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Mitra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jantung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HAM,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Hukum,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kementerian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Imigrasi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Pemasyarakatan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kementerian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XIII juga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bermitra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HAM), Lembaga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Saksi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Korban (LPSK), Badan Nasional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Penanggulangan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Terorisme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(BNPT), Badan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Pembinaan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Ideologi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 (BPIP),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lain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MPR RI,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DPD RI, dan Kantor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Staf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(KSP).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menyederhanakan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tumpang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tindih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(hyper-regulation)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omnibus law,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HAM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kelembagaan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negara.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program-program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deregulasi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modernisasi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pemasyarakatan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penguatan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Komnas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HAM dan LPSK.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terkonsentrasi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harmonisasi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perundang-undangan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pemasyarakatan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kasus-kasus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HAM masa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masa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motor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penggerak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reformasi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birokrasi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FA7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89B0DC" w14:textId="00C0D3E2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1F52CF66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3.3: 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)</w:t>
      </w:r>
    </w:p>
    <w:p w14:paraId="46EB4FF9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3.3.1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Komposisi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Pimpinan</w:t>
      </w:r>
      <w:proofErr w:type="spellEnd"/>
    </w:p>
    <w:p w14:paraId="4C67EE14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memegang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vital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UU MD3.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mencerminkan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banyak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kali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komisi.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33</w:t>
      </w:r>
    </w:p>
    <w:p w14:paraId="4A256150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kolegial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wakil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dipilih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memperhatikan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representasi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fraksi.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periode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2024-2029,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hukum.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33</w:t>
      </w:r>
    </w:p>
    <w:p w14:paraId="1713110F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3.3.2 Peran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Sentral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Program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Nasional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)</w:t>
      </w:r>
    </w:p>
    <w:p w14:paraId="51821B81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menonjol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arsitek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Nasional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bertanggung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jawab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menyusun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mengoordinasikan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daftar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urutan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menengah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(lima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tahunan.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disusun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DPD,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menyusun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sosialisasi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daerah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menjaring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pemahaman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publik.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13</w:t>
      </w:r>
    </w:p>
    <w:p w14:paraId="07660067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lastRenderedPageBreak/>
        <w:t xml:space="preserve">3.3.3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Wewenang</w:t>
      </w:r>
      <w:proofErr w:type="spellEnd"/>
    </w:p>
    <w:p w14:paraId="6F2A2F67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menyusun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tugas-tugas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teknis-legislatif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Salah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pengharmonisasian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pembulatan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pemantapan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diajukan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gabungan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sebelum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luar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khusus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ditugaskan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pemantauan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peninjauan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berlaku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dievaluasi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efektivitasnya.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11</w:t>
      </w:r>
    </w:p>
    <w:p w14:paraId="40698744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3.3.4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Dinamika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Politik</w:t>
      </w:r>
      <w:proofErr w:type="spellEnd"/>
    </w:p>
    <w:p w14:paraId="2B77177E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terkesan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sesungguhnya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arena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pertarungan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sangat fundamental. Proses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harmonisasi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kegiatan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merapikan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redaksi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menyesuaikan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perundang-undangan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praktiknya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ajang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intens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mengubah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menambah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mengurangi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substansi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 agar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agenda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dominan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2CD03CF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nyata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sentral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arena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Cipta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Penugasan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yang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kompleks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kontroversial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badan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seolah-olah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pusat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perdebatan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kontroversi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nasional.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kata,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ayat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pertarungan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ideologi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Memenangkan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perdebatan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mengunci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konsepsi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sebelum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lanjut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dipandang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medan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pertempuran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konseptual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mana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fondasi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diletakkan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5E17D72B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3.4: 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)</w:t>
      </w:r>
    </w:p>
    <w:p w14:paraId="53A66496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3.4.1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Komposisi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Pimpinan</w:t>
      </w:r>
      <w:proofErr w:type="spellEnd"/>
    </w:p>
    <w:p w14:paraId="316DB1C6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instrumen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anggaran.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di mana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dipilih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tiap-tiap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memperhatikan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fraksi.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dirancang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makro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terhubung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sektoral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kolegial.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</w:p>
    <w:p w14:paraId="5849C641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3.4.2 Peran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Siklus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APBN</w:t>
      </w:r>
    </w:p>
    <w:p w14:paraId="214796D6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Peran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mencakup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keseluruhan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siklus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Pendapatan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(APBN).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Keterlibatannya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akhir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diawali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mengenai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pokok-pokok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fiskal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acuan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/lembaga.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Selanjutnya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APBN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komprehensif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memperhatikan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DPD.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Setelah APBN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dilaksanakan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kembali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pokok-pokok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penjelasan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pertanggungjawaban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APBN.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</w:p>
    <w:p w14:paraId="527266CF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3.4.3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Wewenang</w:t>
      </w:r>
      <w:proofErr w:type="spellEnd"/>
    </w:p>
    <w:p w14:paraId="09DEEF97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sinkronisasi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rencana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(RKA-K/L)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komisi.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target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pendapatan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realisasi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prognosis APBN,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sudah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diputuskan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komisi.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</w:p>
    <w:p w14:paraId="489A25E8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3.4.4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Krusial</w:t>
      </w:r>
      <w:proofErr w:type="spellEnd"/>
    </w:p>
    <w:p w14:paraId="5CAD1C02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APBN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mengajukan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RAPBN,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aspek-aspek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Panja-panja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biasanya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meliputi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Asumsi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Dasar,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Pendapatan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Defisit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Pembiayaan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;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Pusat;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Transfer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Daerah dan Dana Desa.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Hasil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Panja-panja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mengambil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781853B0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terletak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sinkronisasi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". Ketika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selesai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mengajukan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usulan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kementerian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mitra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total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usulan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melebihi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pagu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tersedia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sinilah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final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menyelaraskan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menyesuaikan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, dan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mensinkronkan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usulan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fiskal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disepakati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memotong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usulan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menambahkannya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wasit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84F7468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Dinamika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mengenai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pernah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disorot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kemampuan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detail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3"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rincian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item program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Meskipun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reformasi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makro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potensi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mengarahkan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proyek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daerah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pemilihan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</w:p>
    <w:p w14:paraId="7B31A227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pork-barrel politics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dinamika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diawasi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alokatif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berpengaruh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DPR.</w:t>
      </w:r>
    </w:p>
    <w:p w14:paraId="3A26B358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3.5: 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Negara (BAKN)</w:t>
      </w:r>
    </w:p>
    <w:p w14:paraId="79BB1680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3.5.1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Keanggotaan</w:t>
      </w:r>
      <w:proofErr w:type="spellEnd"/>
    </w:p>
    <w:p w14:paraId="195B1D0C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(BAKN)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khusus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Dasar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amanat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UUD 1945,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khususnya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23E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menyatakan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pemeriksaan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oleh BPK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ditindaklanjuti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lanjut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MD3.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termuda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" di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kembali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2018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vakum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mempertajam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keuangan.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</w:p>
    <w:p w14:paraId="5776023E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3.5.2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Wewenang</w:t>
      </w:r>
      <w:proofErr w:type="spellEnd"/>
    </w:p>
    <w:p w14:paraId="6540D6CB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pokok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Pemeriksa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(BPK).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MD3,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meliputi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empat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037D1486" w14:textId="77777777" w:rsidR="00B523CD" w:rsidRPr="00B523CD" w:rsidRDefault="00B523CD" w:rsidP="00B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penelaahan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BPK yang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disampaikan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DPR.</w:t>
      </w:r>
    </w:p>
    <w:p w14:paraId="708905EF" w14:textId="77777777" w:rsidR="00B523CD" w:rsidRPr="00B523CD" w:rsidRDefault="00B523CD" w:rsidP="00B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penelaahan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B596F0" w14:textId="77777777" w:rsidR="00B523CD" w:rsidRPr="00B523CD" w:rsidRDefault="00B523CD" w:rsidP="00B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Menindaklanjuti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BPK,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bersangkutan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6C4B6D" w14:textId="77777777" w:rsidR="00B523CD" w:rsidRPr="00B523CD" w:rsidRDefault="00B523CD" w:rsidP="00B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BPK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tahunan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96976C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melaksanakan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meminta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penjelasan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BPK,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BUMN,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lain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mengelola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14</w:t>
      </w:r>
    </w:p>
    <w:p w14:paraId="453BE9C5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3.5.3 Proses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BPK</w:t>
      </w:r>
    </w:p>
    <w:p w14:paraId="2683F4D2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Peran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penerjemah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audit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BPK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menghasilkan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ribuan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halaman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Hasil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Pemeriksaan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(LHP)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disibukkan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sumber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cukup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menelaah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LHP BPK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F53F65B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hadir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menjembatani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kesenjangan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menerima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LHP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BPK.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menelaah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menganalisis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temuan-temuan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signifikan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Hasil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dirangkum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relevan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format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ringkas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kata lain,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mengubah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audit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ditindaklanjuti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31EC146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BAKN,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banyak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BPK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tumpukan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arsip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BAKN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diukur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audit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wewenang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BPK),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banyak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telaahannya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komisi-komisi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(RDP) yang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menteri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Meskipun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suportif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"bottom-up"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menyuplai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penerjemah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 oleh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keseluruhan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DE96776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3.6: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Mahkamah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Dewan (MKD)</w:t>
      </w:r>
    </w:p>
    <w:p w14:paraId="4E32C2DA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3.6.1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Keanggotaan</w:t>
      </w:r>
      <w:proofErr w:type="spellEnd"/>
    </w:p>
    <w:p w14:paraId="0C6A0CC0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Mahkamah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(MKD)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menegakkan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keluhuran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martabat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kredibilitas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rakyat.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Dasar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UU MD3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Tata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Tertib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Kode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memperhatikan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anggota.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39</w:t>
      </w:r>
    </w:p>
    <w:p w14:paraId="5B77D646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3.6.2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Penegakan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Etik</w:t>
      </w:r>
      <w:proofErr w:type="spellEnd"/>
    </w:p>
    <w:p w14:paraId="1F6421EF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aspek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pencegahan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preventive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penindakan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repressive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pencegahan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pemantauan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perilaku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sosialisasi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penerbitan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edaran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imbauan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menaati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peraturan.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12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penindakan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diwujudkan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penyelidikan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verifikasi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persidangan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beragam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ketidakhadiran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konflik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ucapan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merendahkan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martabat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39</w:t>
      </w:r>
    </w:p>
    <w:p w14:paraId="5F7693E1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3.6.3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Proses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Beracara</w:t>
      </w:r>
      <w:proofErr w:type="spellEnd"/>
    </w:p>
    <w:p w14:paraId="63141892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laporan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masyarakat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MKD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memproses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perkara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tanpa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sendiri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12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diterima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verifikasi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Jika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memenuhi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syarat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dilanjutkan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penyelidikan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mengumpulkan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fakta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bukti.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</w:p>
    <w:p w14:paraId="14FF8038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memanggil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memeriksa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pihak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teradu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dilaporkan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ahli.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Persidangan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dasarnya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tertutup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kerahasiaan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pihak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kecuali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memutuskan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menggelar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terbuka.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persidangan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mengambil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berupa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sanksi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teguran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lisan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tertulis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sanksi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pemindahan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AKD/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pemberhentian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sanksi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pemberhentian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pemberhentian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menjatuhkan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sanksi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MKD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berwenang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merehabilitasi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terbukti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bersalah.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39</w:t>
      </w:r>
    </w:p>
    <w:p w14:paraId="28E69C64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3.6.4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Studi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Kasus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Dilema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Kelembagaan</w:t>
      </w:r>
      <w:proofErr w:type="spellEnd"/>
    </w:p>
    <w:p w14:paraId="320A7D13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menarik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perhatian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melibatkan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pernyataan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kontroversial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Ahmad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Dhani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40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lain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berkaitan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ucapan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menghina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suku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tertentu.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Kasus-kasus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menempatkan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MKD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bawah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sorotan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tajam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576D0616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praktiknya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menghadapi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dilema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fundamental.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dituntut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peradilan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objektif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mengadili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berbeda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Hal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konflik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menegakkan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ideal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solidaritas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korps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esprit de corps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citra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keseluruhan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C8F5F13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Kinerja MKD,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terkadang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dinilai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optimal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39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barometer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menilai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keseriusan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internal.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diambil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MKD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selalu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tegangan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idealisme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penegakan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pragmatisme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Terkadang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,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DPR"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ditafsirkan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menyelesaikan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internal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senyap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menghindari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publisitas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negatif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bertentangan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tuntutan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transparansi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dilema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inheren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menganalisis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kritis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dihasilkan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MKD.</w:t>
      </w:r>
    </w:p>
    <w:p w14:paraId="733F10A6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3.7: 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Urusan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Tangga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(BURT)</w:t>
      </w:r>
    </w:p>
    <w:p w14:paraId="556EABB6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3.7.1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Pimpinan</w:t>
      </w:r>
      <w:proofErr w:type="spellEnd"/>
    </w:p>
    <w:p w14:paraId="11BE4541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Urusan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(BURT)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urusan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internal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kerumahtanggaan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lembaga.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permulaan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memperhatikan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tiap-tiap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kolegial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seorang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wakil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dipilih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43</w:t>
      </w:r>
    </w:p>
    <w:p w14:paraId="4B7383D0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3.7.2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Wewenang</w:t>
      </w:r>
      <w:proofErr w:type="spellEnd"/>
    </w:p>
    <w:p w14:paraId="29949B0E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berkaitan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kerumahtanggaan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mencakup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Sekretariat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Jenderal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pengelolaan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belanja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22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melaporkan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kinerjanya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khusus.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koordinasi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DPD dan MPR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urusan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kerumahtanggaan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ketiga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tersebut.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43</w:t>
      </w:r>
    </w:p>
    <w:p w14:paraId="450D2F6B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3.7.3 Peran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Penunjang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Kedewanan</w:t>
      </w:r>
      <w:proofErr w:type="spellEnd"/>
    </w:p>
    <w:p w14:paraId="25E0F2B7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Peran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melampaui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urusan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administratif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pengelolaan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gedung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fasilitas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kewenangannya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merencanakan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mengontrol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internal DPR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44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41CC1DF6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memberdayakan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membatasi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kapasitas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Ketersediaan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pengadaan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ahli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dukungan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bergantung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perencanaan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BURT.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demikian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mengelola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 lain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optimal.</w:t>
      </w:r>
    </w:p>
    <w:p w14:paraId="4EA64B25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berevolusi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Komitmen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turut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upaya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transformasi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modern"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pergeseran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signifikan.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BURT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langkah-langkah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modernisasi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menandakan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mengurus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aspek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turut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memikirkan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mengelola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5C9DB00B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platform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citra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publik.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46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inisiatif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modernisasi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teknologi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peningkatan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kualitas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layanan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pendukung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sistemik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rakyat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"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responsif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efisien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representatif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Peran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bergeser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pengurus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"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fasilitator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modernisasi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institusional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".</w:t>
      </w:r>
    </w:p>
    <w:p w14:paraId="28777B87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3.8: 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Sama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(BKSAP)</w:t>
      </w:r>
    </w:p>
    <w:p w14:paraId="0ACAA23E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3.8.1 Dasar Hukum,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Keanggotaan</w:t>
      </w:r>
      <w:proofErr w:type="spellEnd"/>
    </w:p>
    <w:p w14:paraId="1ABEE0D8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Sama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(BKSAP)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garda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terdepan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BKSAP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dunia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internasional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,"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perspektif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global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kerja-kerja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kedewanan.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DPR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mencerminkan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komposisi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fraksi-fraksi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ada.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48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internal,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BKSAP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didukung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terdiri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desk,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Desk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Sama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Internasional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Regional, dan Bilateral,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antarparlemen.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50</w:t>
      </w:r>
    </w:p>
    <w:p w14:paraId="27C47A6A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3.8.2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Parlemen</w:t>
      </w:r>
      <w:proofErr w:type="spellEnd"/>
    </w:p>
    <w:p w14:paraId="3798F3F9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BKSAP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membina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mengembangkan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meningkatkan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persahabatan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lain.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dijalin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bilateral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multilateral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organisasi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internasional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01D46B88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Inter-Parliamentary Union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(IPU)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ASEAN Inter-Parliamentary Assembly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(AIPA)).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forum-forum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BKSAP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menyuarakan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memperjuangkan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</w:p>
    <w:p w14:paraId="4D2DEC3D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3.8.3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</w:p>
    <w:p w14:paraId="75CCC3F7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BKSAP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dinamis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sahabat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menerima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delegasi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tuan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penyelenggaraan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sidang-sidang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regional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internasional.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instrumen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bilateral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Grup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Sama Bilateral (GKSB)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negara-negara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sahabat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memfokuskan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bidang-bidang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pendidikan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pertahanan.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</w:p>
    <w:p w14:paraId="4B86C979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sekadar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formal, BKSAP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mempraktikkan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jalur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kedua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" (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second-track diplomacy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Jalur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fleksibel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komplementer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eksekutif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memungkinkan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dialog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terbuka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isu-isu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legislator,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pertukaran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praktik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anggaran.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51</w:t>
      </w:r>
    </w:p>
    <w:p w14:paraId="0CEC12C8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BKSAP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platform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internasional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memperjuangkan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isu-isu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niche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perhatian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global,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pencapaian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Pembangunan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Berkelanjutan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(SDGs)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pemberdayaan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perempuan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parlemen.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Inisiatif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memungkinkan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Indonesia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membangun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</w:p>
    <w:p w14:paraId="579944BE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soft power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keahlian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arena-arena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mungkin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diplomasi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jalur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akhirnya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BKSAP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perspektif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pengalaman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global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negeri,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memperkaya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pembuatan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internasional.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47</w:t>
      </w:r>
    </w:p>
    <w:p w14:paraId="2DEF0ECE" w14:textId="77777777" w:rsidR="00B523CD" w:rsidRPr="00B523CD" w:rsidRDefault="00B523CD" w:rsidP="00B523C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Bagian IV: Alat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Tetap</w:t>
      </w:r>
      <w:proofErr w:type="spellEnd"/>
    </w:p>
    <w:p w14:paraId="4717D040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4.1: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Panitia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Khusus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)</w:t>
      </w:r>
    </w:p>
    <w:p w14:paraId="779CF1CD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4.1.1 Sifat,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Dasar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Pembentukan</w:t>
      </w:r>
      <w:proofErr w:type="spellEnd"/>
    </w:p>
    <w:p w14:paraId="5AF53B69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Khusus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ad hoc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Berbeda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badan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melaksanakan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terbatas.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54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biasanya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diusulkan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masalah-masalah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mendesak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lintas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sektoral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efektif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saja.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53</w:t>
      </w:r>
    </w:p>
    <w:p w14:paraId="0CF50164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Dasar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biasanya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didahului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rekomendasi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31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penyelidikan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pendalaman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dilaporkan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kembali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ditindaklanjuti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2E430F6E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4.1.2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Prosedur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Masa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Pembubaran</w:t>
      </w:r>
      <w:proofErr w:type="spellEnd"/>
    </w:p>
    <w:p w14:paraId="5DB3A7FB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Prosedur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penetapan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Susunan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keanggotaan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perimbangan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pemerataan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tiap-tiap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maksimal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30 orang.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54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dipilih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prinsip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kolegial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50402ACA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misalnya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kali masa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persidangan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meskipun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diperpanjang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selesai.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53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jangka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penugasannya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berakhir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dinyatakan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selesai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otomatis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dibubarkan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54</w:t>
      </w:r>
    </w:p>
    <w:p w14:paraId="48B662B8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4.1.3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Studi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Kasus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Signifikansi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Politik</w:t>
      </w:r>
      <w:proofErr w:type="spellEnd"/>
    </w:p>
    <w:p w14:paraId="17F616CC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sejarah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beberapa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sorotan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isu-isu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kontroversial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paling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terkenal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lain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Angket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Bank Century,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menyelidiki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penyimpangan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bailout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Bank Century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55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Angket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Haji,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menginvestigasi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dugaan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penyimpangan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pengelolaan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haji tambahan.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56</w:t>
      </w:r>
    </w:p>
    <w:p w14:paraId="56D53D71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disertai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angket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penyelidikan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eskalasi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DPR.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sinyal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luar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biasa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dampak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nasional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luas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lintas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berpotensi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melibatkan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mengancam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pejabat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negara.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seketika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arena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pertarungan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terbuka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transparan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disorot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tajam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media massa.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56</w:t>
      </w:r>
    </w:p>
    <w:p w14:paraId="4DA2EDC5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Meskipun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rekomendasi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dihasilkan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putusan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pengadilan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Hasil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opini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memicu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penegak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perombakan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besar-besaran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senjata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pamungkas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DPR,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instrumen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berisiko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gramStart"/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high-stakes</w:t>
      </w:r>
      <w:proofErr w:type="gram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digunakan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dianggap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memadai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E88709C" w14:textId="77777777" w:rsidR="00B523CD" w:rsidRPr="00B523CD" w:rsidRDefault="00B523CD" w:rsidP="00B523C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Bagian V: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Hubungan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Publik</w:t>
      </w:r>
      <w:proofErr w:type="spellEnd"/>
    </w:p>
    <w:p w14:paraId="53550CE7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Bab 5.1: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Penyerapan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Pengelolaan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Masyarakat</w:t>
      </w:r>
    </w:p>
    <w:p w14:paraId="00DCDA0E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5.1.1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Klarifikasi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Konseptual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: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Bukan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"Badan",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"</w:t>
      </w:r>
    </w:p>
    <w:p w14:paraId="33A60049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formal DPR RI,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Dewan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bernama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Masyarakat".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Istilah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merujuk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serangkaian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dirancang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resmi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menyerap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menghimpun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menampung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menindaklanjuti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masyarakat.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wujud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representasi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di mana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membuka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pintu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partisipasi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kenegaraan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0265C904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5.1.2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Saluran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Prosedur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Resmi</w:t>
      </w:r>
      <w:proofErr w:type="spellEnd"/>
    </w:p>
    <w:p w14:paraId="15DD4AED" w14:textId="77777777" w:rsidR="00B523CD" w:rsidRPr="00B523CD" w:rsidRDefault="00B523CD" w:rsidP="00B523CD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menyediakan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aspirasinya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garis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dua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kategori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</w:t>
      </w:r>
    </w:p>
    <w:p w14:paraId="6590253A" w14:textId="77777777" w:rsidR="00B523CD" w:rsidRPr="00B523CD" w:rsidRDefault="00B523CD" w:rsidP="00B523C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Penyampaian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media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tertulis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digital,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pengiriman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resmi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pengisian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formulir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situs web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resmi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(pengaduan.dpr.go.id),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media lain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Sekretariat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Jenderal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verifikasi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administratif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identitas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pengirim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kejelasan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substansi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sebelum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diteruskan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yang relevan.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57</w:t>
      </w:r>
    </w:p>
    <w:p w14:paraId="65F100F7" w14:textId="77777777" w:rsidR="00B523CD" w:rsidRPr="00B523CD" w:rsidRDefault="00B523CD" w:rsidP="00B523C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Penyampaian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Masyarakat,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individu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kelompok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maupun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institusi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audiensi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unjuk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rasa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diterima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57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diatur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Sekretariat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Jenderal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ketertiban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efektivitas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69BEF29F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pengelolaan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Peraturan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Sekretaris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Jenderal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menetapkan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prinsip-prinsip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transparansi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objektivitas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kerahasiaan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menjamin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penanganan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profesional.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58</w:t>
      </w:r>
    </w:p>
    <w:p w14:paraId="5D6EB75E" w14:textId="77777777" w:rsidR="00B523CD" w:rsidRPr="00B523CD" w:rsidRDefault="00B523CD" w:rsidP="00B523C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5.1.3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Saluran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Legislatif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Pengawasan</w:t>
      </w:r>
      <w:proofErr w:type="spellEnd"/>
    </w:p>
    <w:p w14:paraId="7B7D89C8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Selain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saluran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penyerapan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terintegrasi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pelaksanaan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60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1A1BA86F" w14:textId="77777777" w:rsidR="00B523CD" w:rsidRPr="00B523CD" w:rsidRDefault="00B523CD" w:rsidP="00B523C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Dengar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Pendapat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Umum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(RDPU):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forum formal di mana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membahas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pemangku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—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akademisi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organisasi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masyarakat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sipil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pengusaha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kelompok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profesional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—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masukan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data,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pandangan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substansi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RUU tersebut.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60</w:t>
      </w:r>
    </w:p>
    <w:p w14:paraId="321957A8" w14:textId="77777777" w:rsidR="00B523CD" w:rsidRPr="00B523CD" w:rsidRDefault="00B523CD" w:rsidP="00B523C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rutin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daerah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pemilihan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reses)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lokasi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lainnya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menjemput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bola",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yakni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mendengarkan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permasalahan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berkembang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di masyarakat.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60</w:t>
      </w:r>
    </w:p>
    <w:p w14:paraId="11449DC1" w14:textId="77777777" w:rsidR="00B523CD" w:rsidRPr="00B523CD" w:rsidRDefault="00B523CD" w:rsidP="00B523C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Seminar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Diskusi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menyelenggarakan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seminar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diskusi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kelompok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terpumpun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focus group discussion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mendalami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menjaring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gagasan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ahli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luas.</w:t>
      </w:r>
      <w:r w:rsidRPr="00B523C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60</w:t>
      </w:r>
    </w:p>
    <w:p w14:paraId="1064A0CD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perbedaan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saluran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Pengaduan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Resmi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administratif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cocok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menangani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individual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kasus-kasus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spesifik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lanjut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Sebaliknya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RDPU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formal,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terpisahkan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;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arena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kelompok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kepentingan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terorganisir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memengaruhi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substansi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metode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proaktif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merasakan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denyut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persoalan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rumput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F7987F9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publik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ingin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berpartisipasi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perbedaan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Mengirimkan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surat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keluhan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pasal-pasal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mungkin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Upaya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strategis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koalisi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menyiapkan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naskah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akademik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tandingan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melobi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RDPU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badan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relevan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menyampaikan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aspirasi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kunjungan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014"/>
        <w:gridCol w:w="1814"/>
        <w:gridCol w:w="1568"/>
        <w:gridCol w:w="1434"/>
        <w:gridCol w:w="1598"/>
      </w:tblGrid>
      <w:tr w:rsidR="00B523CD" w:rsidRPr="00B523CD" w14:paraId="7DAD42E4" w14:textId="77777777" w:rsidTr="00B523C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261CD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Mekanisme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4EE988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Sifat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2148B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Inisiator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Utama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B085D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Tujuan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Utama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CB8E4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Output Khas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DEC41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Tingkat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Pengaruh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Potensial</w:t>
            </w:r>
            <w:proofErr w:type="spellEnd"/>
          </w:p>
        </w:tc>
      </w:tr>
      <w:tr w:rsidR="00B523CD" w:rsidRPr="00B523CD" w14:paraId="7667A430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C1764" w14:textId="77777777" w:rsidR="00B523CD" w:rsidRPr="00B523CD" w:rsidRDefault="00B523CD" w:rsidP="00B523CD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Pengaduan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Resmi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(Surat/Online)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A4D31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Formal,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Reaktif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02001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Publik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/Masyarakat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8799D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Menyampaikan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keluhan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pengaduan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kasus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spesifik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atau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usulan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individual.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E5F2B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Surat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balasan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disposisi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AKD,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pencatatan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sebagai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masukan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5B402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Rendah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hingga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Sedang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tergantung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substansi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tindak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lanjut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AKD).</w:t>
            </w:r>
          </w:p>
        </w:tc>
      </w:tr>
      <w:tr w:rsidR="00B523CD" w:rsidRPr="00B523CD" w14:paraId="21CB1C46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2C21F" w14:textId="77777777" w:rsidR="00B523CD" w:rsidRPr="00B523CD" w:rsidRDefault="00B523CD" w:rsidP="00B523CD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Rapat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Dengar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Pendapat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Umum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(RDPU)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DDC54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Formal,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Proaktif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A5DC7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DPR (AKD)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C89BE" w14:textId="77777777" w:rsidR="00B523CD" w:rsidRPr="00B523CD" w:rsidRDefault="00B523CD" w:rsidP="00B523CD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Mendapatkan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masukan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teknis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data, 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pandangan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politik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dari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r w:rsidRPr="00B523CD">
              <w:rPr>
                <w:rFonts w:ascii="Times New Roman" w:eastAsia="Times New Roman" w:hAnsi="Times New Roman" w:cs="Times New Roman"/>
                <w:i/>
                <w:i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stakeholders</w:t>
            </w: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terorganisir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terkait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RUU/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isu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tertentu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CE79C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Risalah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rapat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masukan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tertulis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bahan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pertimbangan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dalam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pembahasan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DIM.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E1E3F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Sedang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hingga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Tinggi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langsung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memengaruhi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substansi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pembahasan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).</w:t>
            </w:r>
          </w:p>
        </w:tc>
      </w:tr>
      <w:tr w:rsidR="00B523CD" w:rsidRPr="00B523CD" w14:paraId="6EED2AA8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8648D" w14:textId="77777777" w:rsidR="00B523CD" w:rsidRPr="00B523CD" w:rsidRDefault="00B523CD" w:rsidP="00B523CD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lastRenderedPageBreak/>
              <w:t>Kunjungan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Kerja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Kunker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634C3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Formal,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Proaktif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2F7E1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DPR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Anggota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/AKD)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C40D0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Menjaring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aspirasi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langsung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dari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daerah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memverifikasi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implementasi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kebijakan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lapangan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F4FBF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Laporan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Kunjungan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Kerja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menjadi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bahan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dalam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rapat-rapat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di DPR.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3003E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Sedang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memengaruhi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pandangan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anggota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/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fraksi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).</w:t>
            </w:r>
          </w:p>
        </w:tc>
      </w:tr>
      <w:tr w:rsidR="00B523CD" w:rsidRPr="00B523CD" w14:paraId="2E0EB41D" w14:textId="77777777" w:rsidTr="00B523C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8A560F" w14:textId="77777777" w:rsidR="00B523CD" w:rsidRPr="00B523CD" w:rsidRDefault="00B523CD" w:rsidP="00B523CD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Audiensi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 xml:space="preserve"> /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ID"/>
              </w:rPr>
              <w:t>Demonstrasi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144E00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Kurang Formal,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Reaktif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11398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Publik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/Masyarakat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596D89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Menyampaikan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tuntutan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secara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langsung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terbuka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memberikan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tekanan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politik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BE6E7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Pernyataan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pers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penerimaan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oleh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perwakilan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DPR,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liputan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media.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6065B" w14:textId="77777777" w:rsidR="00B523CD" w:rsidRPr="00B523CD" w:rsidRDefault="00B523CD" w:rsidP="00B523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</w:pP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Bervariasi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tergantung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skala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isu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 xml:space="preserve">, dan momentum </w:t>
            </w:r>
            <w:proofErr w:type="spellStart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politik</w:t>
            </w:r>
            <w:proofErr w:type="spellEnd"/>
            <w:r w:rsidRPr="00B523CD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ID"/>
              </w:rPr>
              <w:t>).</w:t>
            </w:r>
          </w:p>
        </w:tc>
      </w:tr>
    </w:tbl>
    <w:p w14:paraId="2DBD2C02" w14:textId="77777777" w:rsidR="00B523CD" w:rsidRPr="00B523CD" w:rsidRDefault="00B523CD" w:rsidP="00B523CD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 xml:space="preserve">Bagian VI: Kesimpulan 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ID"/>
        </w:rPr>
        <w:t>Sintesis</w:t>
      </w:r>
      <w:proofErr w:type="spellEnd"/>
    </w:p>
    <w:p w14:paraId="4D4E06FE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6.1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Sintesis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Interkoneksi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-Alat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Dewan</w:t>
      </w:r>
    </w:p>
    <w:p w14:paraId="456F15F1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mekanisme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Alat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Kelengkapan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Dewan (AKD)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beroperasi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kumpulan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badan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terisolasi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ekosistem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kelembagaan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dinamis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bergantung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Efektivitas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mandat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konstitusionalnya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kelancaran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sinergi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-AKD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Alur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produk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gamblang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memperlihatkan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jejaring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kompleks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1A985F5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perjalanan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Undang-Undang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dimulai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ide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diperjuangkan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Prolegnas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prioritas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jadwal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ditentukan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Musyawarah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bertindak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B523C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gatekeeper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substansi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per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kemudian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relevan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Implikasi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dianalisis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disinkronkan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ketersediaan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APBN.</w:t>
      </w:r>
    </w:p>
    <w:p w14:paraId="6F84E5D0" w14:textId="77777777" w:rsidR="00B523CD" w:rsidRPr="00B523CD" w:rsidRDefault="00B523CD" w:rsidP="00B523C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Setelah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tahapan-tahapan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RUU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akhirnya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Rapat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Paripurna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disahkan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bawah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arahan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DPR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Namun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berhenti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situ. Setelah UU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diimplementasikan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pelaksanaannya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diawasi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ditelaah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Akuntabilitas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Keuangan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Negara (BAKN)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temuan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BPK. Jika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seorang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dewan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Mahkamah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Kehormatan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Dewan (MKD)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turun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tangan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didukung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"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tangga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dikelola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Urusan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Tangga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(BURT)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sementara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dimensi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dijembatani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Badan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Sama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Antar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(BKSAP)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isu-isu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sangat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sektoral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Khusus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instrumen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investigasi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pamungkas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8714649" w14:textId="77777777" w:rsidR="00B523CD" w:rsidRPr="00B523CD" w:rsidRDefault="00B523CD" w:rsidP="00B523C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6.2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Analisis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Peran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  <w:t xml:space="preserve"> Utama DPR RI</w:t>
      </w:r>
    </w:p>
    <w:p w14:paraId="0CA243C0" w14:textId="77777777" w:rsidR="00B523CD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Sintesis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menegaskan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DPR—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—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tunggal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kolektif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ekosistem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produk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kolaborasi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Baleg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Bamus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Pimpinan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hasil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orkestrasi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Banggar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DPD.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upaya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sinergis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BAKN, MKD,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terkadang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Pansus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B383E24" w14:textId="3916D1AF" w:rsidR="00F649CC" w:rsidRPr="00B523CD" w:rsidRDefault="00B523CD" w:rsidP="00B523C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sesungguhnya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perwakilan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terletak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kehebatan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tertentu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menggerakkan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harmonis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sinergis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Sebaliknya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kelemahan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kegagalan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menghasilkan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berkualitas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ditelusuri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hambatan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konflik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kurangnya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koordinasi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AKD-AKD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Oleh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RI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komprehensif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menuntut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masing-masing AKD,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pada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bagaimana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berinteraksi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bernegosiasi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berkolaborasi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panggung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politik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kompleks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mandat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rakyat</w:t>
      </w:r>
      <w:proofErr w:type="spellEnd"/>
      <w:r w:rsidRPr="00B523CD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sectPr w:rsidR="00F649CC" w:rsidRPr="00B5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DE6"/>
    <w:multiLevelType w:val="multilevel"/>
    <w:tmpl w:val="705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03783"/>
    <w:multiLevelType w:val="multilevel"/>
    <w:tmpl w:val="B25A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A5A7F"/>
    <w:multiLevelType w:val="multilevel"/>
    <w:tmpl w:val="097E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02E2"/>
    <w:multiLevelType w:val="multilevel"/>
    <w:tmpl w:val="917C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B3487"/>
    <w:multiLevelType w:val="multilevel"/>
    <w:tmpl w:val="B538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9E"/>
    <w:rsid w:val="00764D5F"/>
    <w:rsid w:val="00820123"/>
    <w:rsid w:val="00845CA3"/>
    <w:rsid w:val="00B36D9E"/>
    <w:rsid w:val="00B523CD"/>
    <w:rsid w:val="00E879C1"/>
    <w:rsid w:val="00F649CC"/>
    <w:rsid w:val="00F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2EF3"/>
  <w15:chartTrackingRefBased/>
  <w15:docId w15:val="{3FACDA63-EEA9-4629-9E1C-04D0B6FD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11330</Words>
  <Characters>64585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2</cp:revision>
  <dcterms:created xsi:type="dcterms:W3CDTF">2025-07-08T04:57:00Z</dcterms:created>
  <dcterms:modified xsi:type="dcterms:W3CDTF">2025-07-08T05:30:00Z</dcterms:modified>
</cp:coreProperties>
</file>