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887"/>
        <w:gridCol w:w="1273"/>
        <w:gridCol w:w="5277"/>
      </w:tblGrid>
      <w:tr w:rsidR="00784429" w:rsidRPr="002A06A5" w:rsidTr="00896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  <w:tcBorders>
              <w:top w:val="nil"/>
              <w:righ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Metric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784429" w:rsidRPr="002A06A5" w:rsidRDefault="00784429" w:rsidP="00AF14E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 xml:space="preserve">Attribute </w:t>
            </w:r>
          </w:p>
        </w:tc>
        <w:tc>
          <w:tcPr>
            <w:tcW w:w="5873" w:type="dxa"/>
            <w:tcBorders>
              <w:top w:val="nil"/>
              <w:lef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Detail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rPr>
                <w:rFonts w:eastAsia="Calibri" w:cs="Times New Roman"/>
                <w:b/>
                <w:color w:val="FF0000"/>
              </w:rPr>
            </w:pPr>
            <w:r w:rsidRPr="002A06A5">
              <w:rPr>
                <w:rFonts w:cs="Times New Roman"/>
                <w:b/>
              </w:rPr>
              <w:t>Coupling Betwe</w:t>
            </w:r>
            <w:bookmarkStart w:id="0" w:name="_GoBack"/>
            <w:bookmarkEnd w:id="0"/>
            <w:r w:rsidRPr="002A06A5">
              <w:rPr>
                <w:rFonts w:cs="Times New Roman"/>
                <w:b/>
              </w:rPr>
              <w:t>en Objects (CBO)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2A06A5">
              <w:rPr>
                <w:rFonts w:cs="Times New Roman"/>
              </w:rPr>
              <w:t>Coupling, Modularity</w:t>
            </w:r>
          </w:p>
        </w:tc>
        <w:tc>
          <w:tcPr>
            <w:tcW w:w="587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C50F44" w:rsidRDefault="00C50F44" w:rsidP="00A0593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CBO is a </w:t>
            </w:r>
            <w:r w:rsidR="00784429" w:rsidRPr="002A06A5">
              <w:rPr>
                <w:rFonts w:cs="Times New Roman"/>
              </w:rPr>
              <w:t xml:space="preserve">count of </w:t>
            </w:r>
            <w:r>
              <w:rPr>
                <w:rFonts w:cs="Times New Roman"/>
              </w:rPr>
              <w:t xml:space="preserve">the classes </w:t>
            </w:r>
            <w:r w:rsidR="00784429" w:rsidRPr="002A06A5">
              <w:rPr>
                <w:rFonts w:cs="Times New Roman"/>
              </w:rPr>
              <w:t xml:space="preserve">to which the class </w:t>
            </w:r>
            <w:r>
              <w:rPr>
                <w:rFonts w:cs="Times New Roman"/>
              </w:rPr>
              <w:t>being inspected references.</w:t>
            </w:r>
          </w:p>
          <w:p w:rsidR="00C50F44" w:rsidRDefault="00C50F44" w:rsidP="00A0593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</w:p>
          <w:p w:rsidR="00784429" w:rsidRPr="002A06A5" w:rsidRDefault="00C50F44" w:rsidP="00A0593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metric is a measure </w:t>
            </w:r>
            <w:r w:rsidRPr="002A06A5">
              <w:rPr>
                <w:rFonts w:cs="Times New Roman"/>
              </w:rPr>
              <w:t xml:space="preserve">of </w:t>
            </w:r>
            <w:r>
              <w:rPr>
                <w:rFonts w:cs="Times New Roman"/>
              </w:rPr>
              <w:t xml:space="preserve">the number of </w:t>
            </w:r>
            <w:r w:rsidRPr="002A06A5">
              <w:rPr>
                <w:rFonts w:cs="Times New Roman"/>
              </w:rPr>
              <w:t>other objects to which the class being considered is coupled</w:t>
            </w:r>
            <w:r w:rsidR="00B96EAC">
              <w:rPr>
                <w:rFonts w:cs="Times New Roman"/>
              </w:rPr>
              <w:t xml:space="preserve">. </w:t>
            </w:r>
            <w:r w:rsidR="00784429" w:rsidRPr="002A06A5">
              <w:rPr>
                <w:rFonts w:cs="Times New Roman"/>
              </w:rPr>
              <w:t>A high number can indicate poor encapsulation and lower modularity resulting in a low level of reusability.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Depth of Inheritance tree (DIT)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11121" w:rsidRDefault="003B28BB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</w:t>
            </w:r>
            <w:r w:rsidR="00784429" w:rsidRPr="002A06A5">
              <w:rPr>
                <w:sz w:val="22"/>
                <w:szCs w:val="22"/>
              </w:rPr>
              <w:t xml:space="preserve"> is </w:t>
            </w:r>
            <w:r w:rsidR="00D11121">
              <w:rPr>
                <w:sz w:val="22"/>
                <w:szCs w:val="22"/>
              </w:rPr>
              <w:t xml:space="preserve">calculated as </w:t>
            </w:r>
            <w:r w:rsidR="00784429" w:rsidRPr="002A06A5">
              <w:rPr>
                <w:sz w:val="22"/>
                <w:szCs w:val="22"/>
              </w:rPr>
              <w:t>the number of classes from tha</w:t>
            </w:r>
            <w:r w:rsidR="0045274B">
              <w:rPr>
                <w:sz w:val="22"/>
                <w:szCs w:val="22"/>
              </w:rPr>
              <w:t>t which is being measured to it</w:t>
            </w:r>
            <w:r w:rsidR="00784429" w:rsidRPr="002A06A5">
              <w:rPr>
                <w:sz w:val="22"/>
                <w:szCs w:val="22"/>
              </w:rPr>
              <w:t xml:space="preserve">s top-level parent. </w:t>
            </w:r>
          </w:p>
          <w:p w:rsidR="00D11121" w:rsidRDefault="00D11121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</w:p>
          <w:p w:rsidR="00784429" w:rsidRPr="002A06A5" w:rsidRDefault="003B28BB" w:rsidP="007E4E5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</w:t>
            </w:r>
            <w:r w:rsidR="00784429" w:rsidRPr="002A06A5">
              <w:rPr>
                <w:sz w:val="22"/>
                <w:szCs w:val="22"/>
              </w:rPr>
              <w:t xml:space="preserve"> is a measure of design complexity</w:t>
            </w:r>
            <w:r w:rsidR="00BE5500">
              <w:rPr>
                <w:sz w:val="22"/>
                <w:szCs w:val="22"/>
              </w:rPr>
              <w:t>,</w:t>
            </w:r>
            <w:r w:rsidR="00784429" w:rsidRPr="002A06A5">
              <w:rPr>
                <w:sz w:val="22"/>
                <w:szCs w:val="22"/>
              </w:rPr>
              <w:t xml:space="preserve"> </w:t>
            </w:r>
            <w:r w:rsidR="00BE5500">
              <w:rPr>
                <w:sz w:val="22"/>
                <w:szCs w:val="22"/>
              </w:rPr>
              <w:t xml:space="preserve">capturing </w:t>
            </w:r>
            <w:r w:rsidR="00784429" w:rsidRPr="002A06A5">
              <w:rPr>
                <w:sz w:val="22"/>
                <w:szCs w:val="22"/>
              </w:rPr>
              <w:t>the number of parent classes from which a class inherit</w:t>
            </w:r>
            <w:r w:rsidR="00BE5500">
              <w:rPr>
                <w:sz w:val="22"/>
                <w:szCs w:val="22"/>
              </w:rPr>
              <w:t>s</w:t>
            </w:r>
            <w:r w:rsidR="00784429" w:rsidRPr="002A06A5">
              <w:rPr>
                <w:sz w:val="22"/>
                <w:szCs w:val="22"/>
              </w:rPr>
              <w:t xml:space="preserve">. A high number </w:t>
            </w:r>
            <w:r w:rsidR="00BE5500">
              <w:rPr>
                <w:sz w:val="22"/>
                <w:szCs w:val="22"/>
              </w:rPr>
              <w:t>may indicate</w:t>
            </w:r>
            <w:r w:rsidR="00784429" w:rsidRPr="002A06A5">
              <w:rPr>
                <w:sz w:val="22"/>
                <w:szCs w:val="22"/>
              </w:rPr>
              <w:t xml:space="preserve"> excessive design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Lack of Cohesion of Methods (LCOM)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Cohesion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5243A" w:rsidRDefault="00815788" w:rsidP="00815788">
            <w:pPr>
              <w:pStyle w:val="BodyText"/>
              <w:tabs>
                <w:tab w:val="left" w:pos="2720"/>
              </w:tabs>
              <w:rPr>
                <w:sz w:val="22"/>
                <w:szCs w:val="22"/>
                <w:lang w:val="en-GB"/>
              </w:rPr>
            </w:pPr>
            <w:r w:rsidRPr="00815788">
              <w:rPr>
                <w:sz w:val="22"/>
                <w:szCs w:val="22"/>
                <w:lang w:val="en-GB"/>
              </w:rPr>
              <w:t xml:space="preserve">The LCOM is a count of method pairs whose similarity is 0 minus the count of method pairs whose similarity is not zero. </w:t>
            </w:r>
            <w:r w:rsidRPr="00815788">
              <w:rPr>
                <w:sz w:val="22"/>
                <w:szCs w:val="22"/>
                <w:lang w:val="en-GB"/>
              </w:rPr>
              <w:t xml:space="preserve">The degree of similarity for two methods </w:t>
            </w:r>
            <w:r>
              <w:rPr>
                <w:sz w:val="22"/>
                <w:szCs w:val="22"/>
                <w:lang w:val="en-GB"/>
              </w:rPr>
              <w:t>m1 and m</w:t>
            </w:r>
            <w:r w:rsidRPr="00815788">
              <w:rPr>
                <w:sz w:val="22"/>
                <w:szCs w:val="22"/>
                <w:lang w:val="en-GB"/>
              </w:rPr>
              <w:t xml:space="preserve">2 in </w:t>
            </w:r>
            <w:r>
              <w:rPr>
                <w:sz w:val="22"/>
                <w:szCs w:val="22"/>
                <w:lang w:val="en-GB"/>
              </w:rPr>
              <w:t xml:space="preserve">a </w:t>
            </w:r>
            <w:r w:rsidRPr="00815788">
              <w:rPr>
                <w:sz w:val="22"/>
                <w:szCs w:val="22"/>
                <w:lang w:val="en-GB"/>
              </w:rPr>
              <w:t>class is given by</w:t>
            </w:r>
            <w:r w:rsidR="0045243A">
              <w:rPr>
                <w:sz w:val="22"/>
                <w:szCs w:val="22"/>
                <w:lang w:val="en-GB"/>
              </w:rPr>
              <w:t>:</w:t>
            </w:r>
          </w:p>
          <w:p w:rsidR="0045243A" w:rsidRPr="0045243A" w:rsidRDefault="00815788" w:rsidP="0045243A">
            <w:pPr>
              <w:pStyle w:val="BodyText"/>
              <w:tabs>
                <w:tab w:val="left" w:pos="2720"/>
              </w:tabs>
              <w:jc w:val="center"/>
              <w:rPr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lang w:val="en-GB"/>
              </w:rPr>
              <w:t xml:space="preserve">LCOM = 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v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1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}</w:t>
            </w:r>
            <w:r w:rsidRPr="00815788">
              <w:rPr>
                <w:color w:val="000000"/>
                <w:sz w:val="22"/>
                <w:szCs w:val="22"/>
                <w:shd w:val="clear" w:color="auto" w:fill="FFFFFF"/>
              </w:rPr>
              <w:t> 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∩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v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2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:rsidR="00815788" w:rsidRPr="00815788" w:rsidRDefault="00815788" w:rsidP="00815788">
            <w:pPr>
              <w:pStyle w:val="BodyText"/>
              <w:tabs>
                <w:tab w:val="left" w:pos="2720"/>
              </w:tabs>
              <w:rPr>
                <w:sz w:val="22"/>
                <w:szCs w:val="22"/>
                <w:lang w:val="en-GB"/>
              </w:rPr>
            </w:pP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v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1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}</w:t>
            </w:r>
            <w:r w:rsidRPr="00815788">
              <w:rPr>
                <w:color w:val="000000"/>
                <w:sz w:val="22"/>
                <w:szCs w:val="22"/>
                <w:shd w:val="clear" w:color="auto" w:fill="FFFFFF"/>
              </w:rPr>
              <w:t> and 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{</w:t>
            </w:r>
            <w:r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v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2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</w:rPr>
              <w:t>}</w:t>
            </w:r>
            <w:r w:rsidRPr="00815788">
              <w:rPr>
                <w:color w:val="000000"/>
                <w:sz w:val="22"/>
                <w:szCs w:val="22"/>
                <w:shd w:val="clear" w:color="auto" w:fill="FFFFFF"/>
              </w:rPr>
              <w:t> are the sets of instance variables used by </w:t>
            </w:r>
            <w:r w:rsidRPr="00815788"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M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1</w:t>
            </w:r>
            <w:r w:rsidRPr="00815788">
              <w:rPr>
                <w:color w:val="000000"/>
                <w:sz w:val="22"/>
                <w:szCs w:val="22"/>
                <w:shd w:val="clear" w:color="auto" w:fill="FFFFFF"/>
              </w:rPr>
              <w:t> and </w:t>
            </w:r>
            <w:r w:rsidRPr="00815788">
              <w:rPr>
                <w:rStyle w:val="texhtml"/>
                <w:rFonts w:eastAsiaTheme="majorEastAsia"/>
                <w:i/>
                <w:iCs/>
                <w:color w:val="000000"/>
                <w:sz w:val="22"/>
                <w:szCs w:val="22"/>
                <w:shd w:val="clear" w:color="auto" w:fill="FFFFFF"/>
              </w:rPr>
              <w:t>M</w:t>
            </w:r>
            <w:r w:rsidRPr="00815788">
              <w:rPr>
                <w:rStyle w:val="texhtml"/>
                <w:rFonts w:eastAsiaTheme="majorEastAsia"/>
                <w:color w:val="000000"/>
                <w:sz w:val="22"/>
                <w:szCs w:val="22"/>
                <w:shd w:val="clear" w:color="auto" w:fill="FFFFFF"/>
                <w:vertAlign w:val="subscript"/>
              </w:rPr>
              <w:t>2</w:t>
            </w:r>
            <w:r w:rsidRPr="00815788"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:rsidR="00815788" w:rsidRPr="00815788" w:rsidRDefault="00815788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  <w:lang w:val="en-GB"/>
              </w:rPr>
            </w:pPr>
          </w:p>
          <w:p w:rsidR="00784429" w:rsidRPr="00815788" w:rsidRDefault="0045243A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This metric</w:t>
            </w:r>
            <w:r w:rsidR="00815788">
              <w:rPr>
                <w:sz w:val="22"/>
                <w:szCs w:val="22"/>
                <w:lang w:val="en-GB"/>
              </w:rPr>
              <w:t xml:space="preserve"> is a measure</w:t>
            </w:r>
            <w:r w:rsidR="00A05931" w:rsidRPr="00815788">
              <w:rPr>
                <w:sz w:val="22"/>
                <w:szCs w:val="22"/>
                <w:lang w:val="en-GB"/>
              </w:rPr>
              <w:t xml:space="preserve"> the dissimilarity of methods</w:t>
            </w:r>
            <w:r w:rsidR="00A05931" w:rsidRPr="009369C7">
              <w:rPr>
                <w:sz w:val="22"/>
                <w:szCs w:val="22"/>
                <w:lang w:val="en-GB"/>
              </w:rPr>
              <w:t xml:space="preserve"> in a class via instanced variables.</w:t>
            </w:r>
            <w:r w:rsidR="00784429" w:rsidRPr="002A06A5">
              <w:rPr>
                <w:sz w:val="22"/>
                <w:szCs w:val="22"/>
              </w:rPr>
              <w:t xml:space="preserve"> A high number can point towards poorly designed classes that do not adhere to the “single responsibility principle”.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Number Of Children (NOC)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Reuse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0F44" w:rsidRDefault="003B28BB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 is</w:t>
            </w:r>
            <w:r w:rsidR="00C50F44">
              <w:rPr>
                <w:sz w:val="22"/>
                <w:szCs w:val="22"/>
              </w:rPr>
              <w:t xml:space="preserve"> the number of direct subclasses extending the class being measured. </w:t>
            </w:r>
          </w:p>
          <w:p w:rsidR="00C50F44" w:rsidRDefault="00C50F44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</w:p>
          <w:p w:rsidR="00784429" w:rsidRPr="002A06A5" w:rsidRDefault="003B28BB" w:rsidP="00BE5500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metric</w:t>
            </w:r>
            <w:r w:rsidR="00C50F44">
              <w:rPr>
                <w:sz w:val="22"/>
                <w:szCs w:val="22"/>
              </w:rPr>
              <w:t xml:space="preserve"> is an indicator of </w:t>
            </w:r>
            <w:r w:rsidR="00BE5500">
              <w:rPr>
                <w:sz w:val="22"/>
                <w:szCs w:val="22"/>
              </w:rPr>
              <w:t>reuse and abstraction. H</w:t>
            </w:r>
            <w:r w:rsidR="00784429" w:rsidRPr="002A06A5">
              <w:rPr>
                <w:sz w:val="22"/>
                <w:szCs w:val="22"/>
              </w:rPr>
              <w:t>igh number</w:t>
            </w:r>
            <w:r w:rsidR="00BE5500">
              <w:rPr>
                <w:sz w:val="22"/>
                <w:szCs w:val="22"/>
              </w:rPr>
              <w:t>s</w:t>
            </w:r>
            <w:r w:rsidR="00784429" w:rsidRPr="002A06A5">
              <w:rPr>
                <w:sz w:val="22"/>
                <w:szCs w:val="22"/>
              </w:rPr>
              <w:t xml:space="preserve"> </w:t>
            </w:r>
            <w:r w:rsidR="00BE5500">
              <w:rPr>
                <w:sz w:val="22"/>
                <w:szCs w:val="22"/>
              </w:rPr>
              <w:t xml:space="preserve">may indicate poor design or </w:t>
            </w:r>
            <w:r w:rsidR="00784429" w:rsidRPr="002A06A5">
              <w:rPr>
                <w:sz w:val="22"/>
                <w:szCs w:val="22"/>
              </w:rPr>
              <w:t xml:space="preserve">diluted abstraction. 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Response For a Class (RFC)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05A" w:rsidRDefault="00B0105A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9369C7">
              <w:rPr>
                <w:sz w:val="22"/>
                <w:szCs w:val="22"/>
              </w:rPr>
              <w:t xml:space="preserve">RFC is the number of methods </w:t>
            </w:r>
            <w:r w:rsidR="003B28BB" w:rsidRPr="009369C7">
              <w:rPr>
                <w:sz w:val="22"/>
                <w:szCs w:val="22"/>
              </w:rPr>
              <w:t>within</w:t>
            </w:r>
            <w:r w:rsidRPr="009369C7">
              <w:rPr>
                <w:sz w:val="22"/>
                <w:szCs w:val="22"/>
              </w:rPr>
              <w:t xml:space="preserve"> </w:t>
            </w:r>
            <w:r w:rsidR="003B28BB" w:rsidRPr="009369C7">
              <w:rPr>
                <w:sz w:val="22"/>
                <w:szCs w:val="22"/>
              </w:rPr>
              <w:t>a</w:t>
            </w:r>
            <w:r w:rsidRPr="009369C7">
              <w:rPr>
                <w:sz w:val="22"/>
                <w:szCs w:val="22"/>
              </w:rPr>
              <w:t xml:space="preserve"> class </w:t>
            </w:r>
            <w:r w:rsidR="003B28BB" w:rsidRPr="009369C7">
              <w:rPr>
                <w:sz w:val="22"/>
                <w:szCs w:val="22"/>
              </w:rPr>
              <w:t xml:space="preserve">added to </w:t>
            </w:r>
            <w:r w:rsidRPr="009369C7">
              <w:rPr>
                <w:sz w:val="22"/>
                <w:szCs w:val="22"/>
              </w:rPr>
              <w:t xml:space="preserve">the number of methods </w:t>
            </w:r>
            <w:r w:rsidR="003B28BB" w:rsidRPr="009369C7">
              <w:rPr>
                <w:sz w:val="22"/>
                <w:szCs w:val="22"/>
              </w:rPr>
              <w:t xml:space="preserve">invoked by </w:t>
            </w:r>
            <w:r w:rsidRPr="009369C7">
              <w:rPr>
                <w:sz w:val="22"/>
                <w:szCs w:val="22"/>
              </w:rPr>
              <w:t>any of those methods.</w:t>
            </w:r>
            <w:r w:rsidRPr="00B0105A">
              <w:rPr>
                <w:sz w:val="22"/>
                <w:szCs w:val="22"/>
              </w:rPr>
              <w:t xml:space="preserve"> </w:t>
            </w:r>
          </w:p>
          <w:p w:rsidR="00B0105A" w:rsidRDefault="00B0105A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</w:p>
          <w:p w:rsidR="00784429" w:rsidRPr="002A06A5" w:rsidRDefault="003B28BB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measure</w:t>
            </w:r>
            <w:r w:rsidR="00784429" w:rsidRPr="002A06A5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the count of </w:t>
            </w:r>
            <w:r w:rsidR="00784429" w:rsidRPr="002A06A5">
              <w:rPr>
                <w:sz w:val="22"/>
                <w:szCs w:val="22"/>
              </w:rPr>
              <w:t>methods which may be executed in response to a message. High numbers may highlight objects with undue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Weighted Methods per Class (WMC)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A05931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E8745C" w:rsidRDefault="00E8745C" w:rsidP="00E8745C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WMC is calculated as the number of methods in the class where each </w:t>
            </w:r>
            <w:r w:rsidRPr="00E8745C">
              <w:rPr>
                <w:sz w:val="22"/>
                <w:szCs w:val="22"/>
              </w:rPr>
              <w:t>method</w:t>
            </w:r>
            <w:r>
              <w:rPr>
                <w:sz w:val="22"/>
                <w:szCs w:val="22"/>
              </w:rPr>
              <w:t xml:space="preserve"> </w:t>
            </w:r>
            <w:r w:rsidRPr="00E8745C">
              <w:rPr>
                <w:sz w:val="22"/>
                <w:szCs w:val="22"/>
              </w:rPr>
              <w:t xml:space="preserve">complexity </w:t>
            </w:r>
            <w:r>
              <w:rPr>
                <w:sz w:val="22"/>
                <w:szCs w:val="22"/>
              </w:rPr>
              <w:t xml:space="preserve">is </w:t>
            </w:r>
            <w:r w:rsidRPr="00E8745C">
              <w:rPr>
                <w:sz w:val="22"/>
                <w:szCs w:val="22"/>
              </w:rPr>
              <w:t>considered</w:t>
            </w:r>
            <w:r>
              <w:rPr>
                <w:sz w:val="22"/>
                <w:szCs w:val="22"/>
              </w:rPr>
              <w:t xml:space="preserve"> to be ‘unity’ or equal to 1</w:t>
            </w:r>
            <w:r w:rsidRPr="00E8745C">
              <w:rPr>
                <w:sz w:val="22"/>
                <w:szCs w:val="22"/>
              </w:rPr>
              <w:t>.</w:t>
            </w:r>
          </w:p>
          <w:p w:rsidR="00E8745C" w:rsidRDefault="00E8745C" w:rsidP="00A05931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</w:p>
          <w:p w:rsidR="00784429" w:rsidRPr="002A06A5" w:rsidRDefault="003B28BB" w:rsidP="00BE5500">
            <w:pPr>
              <w:pStyle w:val="BodyText"/>
              <w:tabs>
                <w:tab w:val="left" w:pos="2720"/>
              </w:tabs>
              <w:rPr>
                <w:b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This metric</w:t>
            </w:r>
            <w:r w:rsidRPr="00E8745C">
              <w:rPr>
                <w:sz w:val="22"/>
                <w:szCs w:val="22"/>
              </w:rPr>
              <w:t xml:space="preserve"> is the sum of the comple</w:t>
            </w:r>
            <w:r>
              <w:rPr>
                <w:sz w:val="22"/>
                <w:szCs w:val="22"/>
              </w:rPr>
              <w:t xml:space="preserve">xity of the methods of a class and is </w:t>
            </w:r>
            <w:r w:rsidR="00E8745C">
              <w:rPr>
                <w:sz w:val="22"/>
                <w:szCs w:val="22"/>
              </w:rPr>
              <w:t>an</w:t>
            </w:r>
            <w:r w:rsidR="00784429" w:rsidRPr="002A06A5">
              <w:rPr>
                <w:sz w:val="22"/>
                <w:szCs w:val="22"/>
              </w:rPr>
              <w:t xml:space="preserve"> indicator of the complexity of a class through </w:t>
            </w:r>
            <w:r w:rsidR="00BE5500">
              <w:rPr>
                <w:sz w:val="22"/>
                <w:szCs w:val="22"/>
              </w:rPr>
              <w:t>its</w:t>
            </w:r>
            <w:r w:rsidR="00784429" w:rsidRPr="002A06A5">
              <w:rPr>
                <w:sz w:val="22"/>
                <w:szCs w:val="22"/>
              </w:rPr>
              <w:t xml:space="preserve"> method count. A high number can indicate undue complexity and limited scope for re-use. </w:t>
            </w:r>
          </w:p>
        </w:tc>
      </w:tr>
    </w:tbl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sectPr w:rsidR="00576244" w:rsidRPr="002A06A5" w:rsidSect="00C27171">
      <w:pgSz w:w="8505" w:h="11907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96E24"/>
    <w:rsid w:val="000C2DC6"/>
    <w:rsid w:val="0018598A"/>
    <w:rsid w:val="001F2B6E"/>
    <w:rsid w:val="002514C1"/>
    <w:rsid w:val="00274399"/>
    <w:rsid w:val="002A06A5"/>
    <w:rsid w:val="002B3A97"/>
    <w:rsid w:val="002C5209"/>
    <w:rsid w:val="0032404F"/>
    <w:rsid w:val="003B28BB"/>
    <w:rsid w:val="00442E13"/>
    <w:rsid w:val="0045243A"/>
    <w:rsid w:val="0045274B"/>
    <w:rsid w:val="004674E7"/>
    <w:rsid w:val="00477022"/>
    <w:rsid w:val="00576244"/>
    <w:rsid w:val="00645231"/>
    <w:rsid w:val="00666B53"/>
    <w:rsid w:val="00746658"/>
    <w:rsid w:val="00784429"/>
    <w:rsid w:val="007A2E83"/>
    <w:rsid w:val="007A42BB"/>
    <w:rsid w:val="007E4E51"/>
    <w:rsid w:val="00812297"/>
    <w:rsid w:val="00815788"/>
    <w:rsid w:val="008965DB"/>
    <w:rsid w:val="009369C7"/>
    <w:rsid w:val="00A00A3E"/>
    <w:rsid w:val="00A05931"/>
    <w:rsid w:val="00A274A4"/>
    <w:rsid w:val="00A477B4"/>
    <w:rsid w:val="00A76C82"/>
    <w:rsid w:val="00A9405D"/>
    <w:rsid w:val="00AC1DCE"/>
    <w:rsid w:val="00AF14E3"/>
    <w:rsid w:val="00B0105A"/>
    <w:rsid w:val="00B96EAC"/>
    <w:rsid w:val="00BE5500"/>
    <w:rsid w:val="00C27171"/>
    <w:rsid w:val="00C50F44"/>
    <w:rsid w:val="00C82EE5"/>
    <w:rsid w:val="00D11121"/>
    <w:rsid w:val="00D17011"/>
    <w:rsid w:val="00DA482A"/>
    <w:rsid w:val="00E43A73"/>
    <w:rsid w:val="00E8745C"/>
    <w:rsid w:val="00E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character" w:customStyle="1" w:styleId="texhtml">
    <w:name w:val="texhtml"/>
    <w:basedOn w:val="DefaultParagraphFont"/>
    <w:rsid w:val="00815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character" w:customStyle="1" w:styleId="texhtml">
    <w:name w:val="texhtml"/>
    <w:basedOn w:val="DefaultParagraphFont"/>
    <w:rsid w:val="0081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95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16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64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47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2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71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31</cp:revision>
  <cp:lastPrinted>2019-03-26T14:12:00Z</cp:lastPrinted>
  <dcterms:created xsi:type="dcterms:W3CDTF">2017-03-11T22:05:00Z</dcterms:created>
  <dcterms:modified xsi:type="dcterms:W3CDTF">2019-03-26T14:12:00Z</dcterms:modified>
</cp:coreProperties>
</file>