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A9" w:rsidRPr="00986BA9" w:rsidRDefault="003E31C0" w:rsidP="00986BA9">
      <w:pPr>
        <w:spacing w:after="120"/>
        <w:ind w:left="-142"/>
        <w:rPr>
          <w:sz w:val="2"/>
        </w:rPr>
      </w:pPr>
      <w:r w:rsidRPr="00986BA9">
        <w:rPr>
          <w:noProof/>
          <w:sz w:val="2"/>
          <w:lang w:eastAsia="en-GB"/>
        </w:rPr>
        <w:drawing>
          <wp:inline distT="0" distB="0" distL="0" distR="0" wp14:anchorId="040BC58B" wp14:editId="52A62350">
            <wp:extent cx="4581525" cy="25431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0E94" w:rsidRPr="00986BA9" w:rsidRDefault="003E31C0" w:rsidP="00986BA9">
      <w:pPr>
        <w:spacing w:after="120"/>
        <w:ind w:left="-142"/>
        <w:rPr>
          <w:sz w:val="10"/>
        </w:rPr>
      </w:pPr>
      <w:r w:rsidRPr="00986BA9">
        <w:rPr>
          <w:noProof/>
          <w:sz w:val="10"/>
          <w:lang w:eastAsia="en-GB"/>
        </w:rPr>
        <w:drawing>
          <wp:inline distT="0" distB="0" distL="0" distR="0" wp14:anchorId="106BBE78" wp14:editId="1076BF0A">
            <wp:extent cx="4579030" cy="2720807"/>
            <wp:effectExtent l="0" t="0" r="120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90E94" w:rsidRPr="00986BA9" w:rsidSect="00986BA9">
      <w:pgSz w:w="7314" w:h="8675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974DA"/>
    <w:rsid w:val="001367AF"/>
    <w:rsid w:val="001652F5"/>
    <w:rsid w:val="0018598A"/>
    <w:rsid w:val="001D634F"/>
    <w:rsid w:val="001E3756"/>
    <w:rsid w:val="001F7AA1"/>
    <w:rsid w:val="002514C1"/>
    <w:rsid w:val="00257CF1"/>
    <w:rsid w:val="002A06A5"/>
    <w:rsid w:val="002A7E4D"/>
    <w:rsid w:val="002E7100"/>
    <w:rsid w:val="002F4273"/>
    <w:rsid w:val="003137D7"/>
    <w:rsid w:val="00352ABA"/>
    <w:rsid w:val="00374A2E"/>
    <w:rsid w:val="003A5458"/>
    <w:rsid w:val="003B7C72"/>
    <w:rsid w:val="003E31C0"/>
    <w:rsid w:val="00442E13"/>
    <w:rsid w:val="004674E7"/>
    <w:rsid w:val="00477022"/>
    <w:rsid w:val="00576244"/>
    <w:rsid w:val="005D1AEF"/>
    <w:rsid w:val="00645231"/>
    <w:rsid w:val="0065031D"/>
    <w:rsid w:val="00666B53"/>
    <w:rsid w:val="006D40BB"/>
    <w:rsid w:val="00730F38"/>
    <w:rsid w:val="00746658"/>
    <w:rsid w:val="00784429"/>
    <w:rsid w:val="00792B4A"/>
    <w:rsid w:val="007F362E"/>
    <w:rsid w:val="00842F31"/>
    <w:rsid w:val="00843607"/>
    <w:rsid w:val="00846DC8"/>
    <w:rsid w:val="00963D8E"/>
    <w:rsid w:val="00986BA9"/>
    <w:rsid w:val="009B099D"/>
    <w:rsid w:val="009D47C9"/>
    <w:rsid w:val="00A00A3E"/>
    <w:rsid w:val="00A477B4"/>
    <w:rsid w:val="00A76C82"/>
    <w:rsid w:val="00A96A88"/>
    <w:rsid w:val="00AC1DCE"/>
    <w:rsid w:val="00AE4577"/>
    <w:rsid w:val="00B8653A"/>
    <w:rsid w:val="00B97889"/>
    <w:rsid w:val="00BD103E"/>
    <w:rsid w:val="00C100DA"/>
    <w:rsid w:val="00CE165E"/>
    <w:rsid w:val="00D17011"/>
    <w:rsid w:val="00D44C28"/>
    <w:rsid w:val="00DA482A"/>
    <w:rsid w:val="00E228F6"/>
    <w:rsid w:val="00E43A73"/>
    <w:rsid w:val="00E750E7"/>
    <w:rsid w:val="00E80997"/>
    <w:rsid w:val="00EC6EF5"/>
    <w:rsid w:val="00EE798B"/>
    <w:rsid w:val="00F170D6"/>
    <w:rsid w:val="00F7254A"/>
    <w:rsid w:val="00F90E94"/>
    <w:rsid w:val="00FB10B3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0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0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90529308836397"/>
          <c:y val="5.1400554097404488E-2"/>
          <c:w val="0.65958070866141727"/>
          <c:h val="0.78074438611840191"/>
        </c:manualLayout>
      </c:layout>
      <c:lineChart>
        <c:grouping val="standard"/>
        <c:varyColors val="0"/>
        <c:ser>
          <c:idx val="0"/>
          <c:order val="0"/>
          <c:tx>
            <c:strRef>
              <c:f>'Intraproject Analysis'!$B$42</c:f>
              <c:strCache>
                <c:ptCount val="1"/>
                <c:pt idx="0">
                  <c:v>CBO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Analysis'!$B$56:$B$65</c:f>
              <c:numCache>
                <c:formatCode>General</c:formatCode>
                <c:ptCount val="10"/>
                <c:pt idx="0">
                  <c:v>2.0022648382601234</c:v>
                </c:pt>
                <c:pt idx="1">
                  <c:v>2.2217716533847653</c:v>
                </c:pt>
                <c:pt idx="2">
                  <c:v>2.0463484529333886</c:v>
                </c:pt>
                <c:pt idx="3">
                  <c:v>2.106747689502511</c:v>
                </c:pt>
                <c:pt idx="4">
                  <c:v>2.0754328641237176</c:v>
                </c:pt>
                <c:pt idx="5">
                  <c:v>2.1213192564957675</c:v>
                </c:pt>
                <c:pt idx="6">
                  <c:v>1.949719088374803</c:v>
                </c:pt>
                <c:pt idx="7">
                  <c:v>2.2820385225633411</c:v>
                </c:pt>
                <c:pt idx="8">
                  <c:v>1.9114430191290082</c:v>
                </c:pt>
                <c:pt idx="9">
                  <c:v>2.4630419538434594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'Intraproject Analysis'!$C$42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Analysis'!$C$56:$C$65</c:f>
              <c:numCache>
                <c:formatCode>General</c:formatCode>
                <c:ptCount val="10"/>
                <c:pt idx="0">
                  <c:v>1.3074820764830888</c:v>
                </c:pt>
                <c:pt idx="1">
                  <c:v>1.4189076654841282</c:v>
                </c:pt>
                <c:pt idx="2">
                  <c:v>1.3365206626883326</c:v>
                </c:pt>
                <c:pt idx="3">
                  <c:v>1.3776286515778822</c:v>
                </c:pt>
                <c:pt idx="4">
                  <c:v>1.3580173916984204</c:v>
                </c:pt>
                <c:pt idx="5">
                  <c:v>1.3863957510045908</c:v>
                </c:pt>
                <c:pt idx="6">
                  <c:v>1.4026821281347885</c:v>
                </c:pt>
                <c:pt idx="7">
                  <c:v>1.4572843733452034</c:v>
                </c:pt>
                <c:pt idx="8">
                  <c:v>1.4911259278443076</c:v>
                </c:pt>
                <c:pt idx="9">
                  <c:v>1.5167810591834312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'Intraproject Analysis'!$E$42</c:f>
              <c:strCache>
                <c:ptCount val="1"/>
                <c:pt idx="0">
                  <c:v>NOC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Analysis'!$E$56:$E$65</c:f>
              <c:numCache>
                <c:formatCode>General</c:formatCode>
                <c:ptCount val="10"/>
                <c:pt idx="0">
                  <c:v>0.11644892851124393</c:v>
                </c:pt>
                <c:pt idx="1">
                  <c:v>0.15080676639196716</c:v>
                </c:pt>
                <c:pt idx="2">
                  <c:v>0.12286202162056283</c:v>
                </c:pt>
                <c:pt idx="3">
                  <c:v>0.14816076604828252</c:v>
                </c:pt>
                <c:pt idx="4">
                  <c:v>0.13334800263249502</c:v>
                </c:pt>
                <c:pt idx="5">
                  <c:v>0.13157275571485894</c:v>
                </c:pt>
                <c:pt idx="6">
                  <c:v>0.14695131293189256</c:v>
                </c:pt>
                <c:pt idx="7">
                  <c:v>0.18687220530434862</c:v>
                </c:pt>
                <c:pt idx="8">
                  <c:v>0.14525232026228818</c:v>
                </c:pt>
                <c:pt idx="9">
                  <c:v>0.2248806463737108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369088"/>
        <c:axId val="120807808"/>
      </c:lineChart>
      <c:catAx>
        <c:axId val="117369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</a:t>
                </a:r>
                <a:r>
                  <a:rPr lang="en-GB" baseline="0"/>
                  <a:t> of </a:t>
                </a:r>
                <a:r>
                  <a:rPr lang="en-GB"/>
                  <a:t>Stability</a:t>
                </a:r>
                <a:r>
                  <a:rPr lang="en-GB" baseline="0"/>
                  <a:t> Ratio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7856364829396322"/>
              <c:y val="0.9110877806940799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0807808"/>
        <c:crosses val="autoZero"/>
        <c:auto val="1"/>
        <c:lblAlgn val="ctr"/>
        <c:lblOffset val="100"/>
        <c:noMultiLvlLbl val="0"/>
      </c:catAx>
      <c:valAx>
        <c:axId val="120807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Mean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3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089129483814524"/>
          <c:y val="5.1400554097404488E-2"/>
          <c:w val="0.64909470691163607"/>
          <c:h val="0.77611475648877226"/>
        </c:manualLayout>
      </c:layout>
      <c:lineChart>
        <c:grouping val="standard"/>
        <c:varyColors val="0"/>
        <c:ser>
          <c:idx val="0"/>
          <c:order val="0"/>
          <c:tx>
            <c:strRef>
              <c:f>'Intraproject Analysis'!$D$42</c:f>
              <c:strCache>
                <c:ptCount val="1"/>
                <c:pt idx="0">
                  <c:v>LCOM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Analysis'!$D$56:$D$65</c:f>
              <c:numCache>
                <c:formatCode>General</c:formatCode>
                <c:ptCount val="10"/>
                <c:pt idx="0">
                  <c:v>35.353272566177516</c:v>
                </c:pt>
                <c:pt idx="1">
                  <c:v>35.298279243830621</c:v>
                </c:pt>
                <c:pt idx="2">
                  <c:v>35.019321856470917</c:v>
                </c:pt>
                <c:pt idx="3">
                  <c:v>35.424027136923172</c:v>
                </c:pt>
                <c:pt idx="4">
                  <c:v>36.258938332107313</c:v>
                </c:pt>
                <c:pt idx="5">
                  <c:v>35.134624728543571</c:v>
                </c:pt>
                <c:pt idx="6">
                  <c:v>33.962500125878378</c:v>
                </c:pt>
                <c:pt idx="7">
                  <c:v>40.897673906090503</c:v>
                </c:pt>
                <c:pt idx="8">
                  <c:v>42.465851149047246</c:v>
                </c:pt>
                <c:pt idx="9">
                  <c:v>39.105368368411483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'Intraproject Analysis'!$F$42</c:f>
              <c:strCache>
                <c:ptCount val="1"/>
                <c:pt idx="0">
                  <c:v>RFC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Analysis'!$F$56:$F$65</c:f>
              <c:numCache>
                <c:formatCode>General</c:formatCode>
                <c:ptCount val="10"/>
                <c:pt idx="0">
                  <c:v>6.7345050563264897</c:v>
                </c:pt>
                <c:pt idx="1">
                  <c:v>7.6985475193254702</c:v>
                </c:pt>
                <c:pt idx="2">
                  <c:v>6.4704562034154725</c:v>
                </c:pt>
                <c:pt idx="3">
                  <c:v>7.2745490072553842</c:v>
                </c:pt>
                <c:pt idx="4">
                  <c:v>8.1682973087837247</c:v>
                </c:pt>
                <c:pt idx="5">
                  <c:v>7.4605038677435296</c:v>
                </c:pt>
                <c:pt idx="6">
                  <c:v>7.2768680842555158</c:v>
                </c:pt>
                <c:pt idx="7">
                  <c:v>10.376057055082697</c:v>
                </c:pt>
                <c:pt idx="8">
                  <c:v>11.255471000955438</c:v>
                </c:pt>
                <c:pt idx="9">
                  <c:v>10.647691790533102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'Intraproject Analysis'!$G$42</c:f>
              <c:strCache>
                <c:ptCount val="1"/>
                <c:pt idx="0">
                  <c:v>WMC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Analysis'!$G$56:$G$65</c:f>
              <c:numCache>
                <c:formatCode>General</c:formatCode>
                <c:ptCount val="10"/>
                <c:pt idx="0">
                  <c:v>5.5579271231543688</c:v>
                </c:pt>
                <c:pt idx="1">
                  <c:v>5.9676395688094397</c:v>
                </c:pt>
                <c:pt idx="2">
                  <c:v>5.3243094038036434</c:v>
                </c:pt>
                <c:pt idx="3">
                  <c:v>5.8305856439813235</c:v>
                </c:pt>
                <c:pt idx="4">
                  <c:v>6.394875715584261</c:v>
                </c:pt>
                <c:pt idx="5">
                  <c:v>5.9196297098071682</c:v>
                </c:pt>
                <c:pt idx="6">
                  <c:v>5.6921231410254256</c:v>
                </c:pt>
                <c:pt idx="7">
                  <c:v>7.6434053853091743</c:v>
                </c:pt>
                <c:pt idx="8">
                  <c:v>6.433930190548999</c:v>
                </c:pt>
                <c:pt idx="9">
                  <c:v>6.7426210758746912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829824"/>
        <c:axId val="120836096"/>
      </c:lineChart>
      <c:catAx>
        <c:axId val="120829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</a:t>
                </a:r>
                <a:r>
                  <a:rPr lang="en-GB" baseline="0"/>
                  <a:t> Ratio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836096"/>
        <c:crosses val="autoZero"/>
        <c:auto val="1"/>
        <c:lblAlgn val="ctr"/>
        <c:lblOffset val="100"/>
        <c:noMultiLvlLbl val="0"/>
      </c:catAx>
      <c:valAx>
        <c:axId val="120836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Mean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829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2019-01-27T21:40:00Z</cp:lastPrinted>
  <dcterms:created xsi:type="dcterms:W3CDTF">2017-08-22T22:15:00Z</dcterms:created>
  <dcterms:modified xsi:type="dcterms:W3CDTF">2019-01-27T21:40:00Z</dcterms:modified>
</cp:coreProperties>
</file>