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65D6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2044"/>
            <w:tcMar>
              <w:top w:w="700" w:type="dxa"/>
              <w:left w:w="500" w:type="dxa"/>
              <w:bottom w:w="700" w:type="dxa"/>
              <w:right w:w="500" w:type="dxa"/>
            </w:tcMar>
          </w:tcPr>
          <w:p w:rsidR="00865D60" w:rsidRDefault="00BE3102">
            <w:pPr>
              <w:spacing w:after="120"/>
              <w:jc w:val="center"/>
            </w:pPr>
            <w:r>
              <w:rPr>
                <w:b/>
                <w:bCs/>
                <w:color w:val="93C5FD"/>
                <w:sz w:val="24"/>
                <w:szCs w:val="24"/>
              </w:rPr>
              <w:t>FLEET MONITORING PLATFORM</w:t>
            </w:r>
          </w:p>
          <w:p w:rsidR="00865D60" w:rsidRDefault="00BE3102">
            <w:pPr>
              <w:spacing w:after="200"/>
              <w:jc w:val="center"/>
            </w:pPr>
            <w:r>
              <w:rPr>
                <w:b/>
                <w:bCs/>
                <w:color w:val="FFFFFF"/>
                <w:sz w:val="48"/>
                <w:szCs w:val="48"/>
              </w:rPr>
              <w:t>Database Architecture &amp;</w:t>
            </w:r>
          </w:p>
          <w:p w:rsidR="00865D60" w:rsidRDefault="00BE3102">
            <w:pPr>
              <w:spacing w:after="300"/>
              <w:jc w:val="center"/>
            </w:pPr>
            <w:r>
              <w:rPr>
                <w:b/>
                <w:bCs/>
                <w:color w:val="FFFFFF"/>
                <w:sz w:val="48"/>
                <w:szCs w:val="48"/>
              </w:rPr>
              <w:t>Implementation Report</w:t>
            </w:r>
          </w:p>
          <w:p w:rsidR="00865D60" w:rsidRDefault="00BE3102">
            <w:pPr>
              <w:spacing w:after="80"/>
              <w:jc w:val="center"/>
            </w:pPr>
            <w:r>
              <w:rPr>
                <w:color w:val="BFDBFE"/>
                <w:sz w:val="23"/>
                <w:szCs w:val="23"/>
              </w:rPr>
              <w:t>Permanent Architecture: 10 Vessels to 10,000 Vessels</w:t>
            </w:r>
          </w:p>
          <w:p w:rsidR="00865D60" w:rsidRDefault="00BE3102">
            <w:pPr>
              <w:spacing w:after="80"/>
              <w:jc w:val="center"/>
            </w:pPr>
            <w:r>
              <w:rPr>
                <w:color w:val="93C5FD"/>
                <w:sz w:val="20"/>
                <w:szCs w:val="20"/>
              </w:rPr>
              <w:t>Multi-Tenant  •  Time-Series Optimized  •  Hot/Cold Tiered Storage  •  Zero-Rewrite Scaling</w:t>
            </w:r>
          </w:p>
          <w:p w:rsidR="00865D60" w:rsidRDefault="00BE3102">
            <w:pPr>
              <w:spacing w:before="240"/>
              <w:jc w:val="center"/>
            </w:pPr>
            <w:r>
              <w:rPr>
                <w:color w:val="64748B"/>
                <w:sz w:val="19"/>
                <w:szCs w:val="19"/>
              </w:rPr>
              <w:t>March 2026  —  Final Version</w:t>
            </w:r>
          </w:p>
        </w:tc>
      </w:tr>
    </w:tbl>
    <w:p w:rsidR="00865D60" w:rsidRDefault="00865D60"/>
    <w:p w:rsidR="00865D60" w:rsidRDefault="00865D60"/>
    <w:p w:rsidR="00865D60" w:rsidRDefault="00BE3102">
      <w:pPr>
        <w:pStyle w:val="Heading1"/>
      </w:pPr>
      <w:r>
        <w:t>1. Executive Summary</w:t>
      </w:r>
    </w:p>
    <w:p w:rsidR="00865D60" w:rsidRDefault="00BE3102">
      <w:pPr>
        <w:spacing w:before="80" w:after="80"/>
      </w:pPr>
      <w:r>
        <w:t>This document defines the complete, permanent database architecture for a vessel fleet monitoring platform. The architecture is designed to handle any scale — from 10 vessels on day one to 10,000 vessels in production — without requiri</w:t>
      </w:r>
      <w:r>
        <w:t>ng a database technology change, schema rewrite, or application refactor.</w:t>
      </w:r>
    </w:p>
    <w:p w:rsidR="00865D60" w:rsidRDefault="00865D60"/>
    <w:p w:rsidR="00865D60" w:rsidRDefault="00BE3102">
      <w:pPr>
        <w:spacing w:before="80" w:after="80"/>
      </w:pPr>
      <w:r>
        <w:t>The core principle: the database is not the scaling bottleneck. The ingestion layer is. By building a Kafka-based ingestion pipeline from the start, the system absorbs any volume of</w:t>
      </w:r>
      <w:r>
        <w:t xml:space="preserve"> vessel data regardless of count. The database simply receives clean, metered batches.</w:t>
      </w:r>
    </w:p>
    <w:p w:rsidR="00865D60" w:rsidRDefault="00865D6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865D60">
        <w:tblPrEx>
          <w:tblCellMar>
            <w:top w:w="0" w:type="dxa"/>
            <w:bottom w:w="0" w:type="dxa"/>
          </w:tblCellMar>
        </w:tblPrEx>
        <w:trPr>
          <w:tblHeader/>
        </w:trPr>
        <w:tc>
          <w:tcPr>
            <w:tcW w:w="3200" w:type="dxa"/>
            <w:tcBorders>
              <w:top w:val="single" w:sz="1" w:space="0" w:color="D1D5DB"/>
              <w:left w:val="single" w:sz="1" w:space="0" w:color="D1D5DB"/>
              <w:bottom w:val="single" w:sz="1" w:space="0" w:color="D1D5DB"/>
              <w:right w:val="single" w:sz="1" w:space="0" w:color="D1D5DB"/>
            </w:tcBorders>
            <w:shd w:val="clear" w:color="auto" w:fill="0F2044"/>
            <w:tcMar>
              <w:top w:w="100" w:type="dxa"/>
              <w:left w:w="140" w:type="dxa"/>
              <w:bottom w:w="100" w:type="dxa"/>
              <w:right w:w="140" w:type="dxa"/>
            </w:tcMar>
          </w:tcPr>
          <w:p w:rsidR="00865D60" w:rsidRDefault="00BE3102">
            <w:r>
              <w:rPr>
                <w:b/>
                <w:bCs/>
                <w:color w:val="FFFFFF"/>
                <w:sz w:val="20"/>
                <w:szCs w:val="20"/>
              </w:rPr>
              <w:t>Decision</w:t>
            </w:r>
          </w:p>
        </w:tc>
        <w:tc>
          <w:tcPr>
            <w:tcW w:w="6160" w:type="dxa"/>
            <w:tcBorders>
              <w:top w:val="single" w:sz="1" w:space="0" w:color="D1D5DB"/>
              <w:left w:val="single" w:sz="1" w:space="0" w:color="D1D5DB"/>
              <w:bottom w:val="single" w:sz="1" w:space="0" w:color="D1D5DB"/>
              <w:right w:val="single" w:sz="1" w:space="0" w:color="D1D5DB"/>
            </w:tcBorders>
            <w:shd w:val="clear" w:color="auto" w:fill="0F2044"/>
            <w:tcMar>
              <w:top w:w="100" w:type="dxa"/>
              <w:left w:w="140" w:type="dxa"/>
              <w:bottom w:w="100" w:type="dxa"/>
              <w:right w:w="140" w:type="dxa"/>
            </w:tcMar>
          </w:tcPr>
          <w:p w:rsidR="00865D60" w:rsidRDefault="00BE3102">
            <w:r>
              <w:rPr>
                <w:b/>
                <w:bCs/>
                <w:color w:val="FFFFFF"/>
                <w:sz w:val="20"/>
                <w:szCs w:val="20"/>
              </w:rPr>
              <w:t>Final Choice</w:t>
            </w:r>
          </w:p>
        </w:tc>
      </w:tr>
      <w:tr w:rsidR="00865D60">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Primary database</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TimescaleDB on PostgreSQL (DigitalOcean Managed)</w:t>
            </w:r>
          </w:p>
        </w:tc>
      </w:tr>
      <w:tr w:rsidR="00865D60">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Schema flexibility</w:t>
            </w:r>
          </w:p>
        </w:tc>
        <w:tc>
          <w:tcPr>
            <w:tcW w:w="616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Hybrid: normalized columns + JSONB for dynamic sensor fields</w:t>
            </w:r>
          </w:p>
        </w:tc>
      </w:tr>
      <w:tr w:rsidR="00865D60">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Multi-tenancy</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Shared cluster, isolated by client_id + Row Level Security</w:t>
            </w:r>
          </w:p>
        </w:tc>
      </w:tr>
      <w:tr w:rsidR="00865D60">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Number of clusters</w:t>
            </w:r>
          </w:p>
        </w:tc>
        <w:tc>
          <w:tcPr>
            <w:tcW w:w="616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2 — Master DB (plain Postgres) + Telemetry DB (TimescaleDB)</w:t>
            </w:r>
          </w:p>
        </w:tc>
      </w:tr>
      <w:tr w:rsidR="00865D60">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Ingestion layer</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Kafka / RedPanda — permanent, scales 10 to 10,000 vessels</w:t>
            </w:r>
          </w:p>
        </w:tc>
      </w:tr>
      <w:tr w:rsidR="00865D60">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Write scaling path</w:t>
            </w:r>
          </w:p>
        </w:tc>
        <w:tc>
          <w:tcPr>
            <w:tcW w:w="616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Citus extension — zero schema/code change, add when needed</w:t>
            </w:r>
          </w:p>
        </w:tc>
      </w:tr>
      <w:tr w:rsidR="00865D60">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Hot storage</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TimescaleDB — last 90 days, auto-compressed after 7 days</w:t>
            </w:r>
          </w:p>
        </w:tc>
      </w:tr>
      <w:tr w:rsidR="00865D60">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Cold storage</w:t>
            </w:r>
          </w:p>
        </w:tc>
        <w:tc>
          <w:tcPr>
            <w:tcW w:w="616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Parquet files on DO Spaces → AWS S3 (migration = config change)</w:t>
            </w:r>
          </w:p>
        </w:tc>
      </w:tr>
      <w:tr w:rsidR="00865D60">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lastRenderedPageBreak/>
              <w:t>Historical queries</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DuckDB queries Parquet directly — 2 to 5 second response</w:t>
            </w:r>
          </w:p>
        </w:tc>
      </w:tr>
      <w:tr w:rsidR="00865D60">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Backups</w:t>
            </w:r>
          </w:p>
        </w:tc>
        <w:tc>
          <w:tcPr>
            <w:tcW w:w="616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Built-in DO PITR (7 days) + SnapShooter for extended retention</w:t>
            </w:r>
          </w:p>
        </w:tc>
      </w:tr>
    </w:tbl>
    <w:p w:rsidR="00865D60" w:rsidRDefault="00865D60"/>
    <w:p w:rsidR="00865D60" w:rsidRDefault="00865D60"/>
    <w:p w:rsidR="00865D60" w:rsidRDefault="00BE3102">
      <w:pPr>
        <w:pStyle w:val="Heading1"/>
      </w:pPr>
      <w:r>
        <w:t>2. The Permanent Scaling Principle</w:t>
      </w:r>
    </w:p>
    <w:p w:rsidR="00865D60" w:rsidRDefault="00BE3102">
      <w:pPr>
        <w:spacing w:before="80" w:after="80"/>
      </w:pPr>
      <w:r>
        <w:t>The most important architectural insight in this document: the database is not what scales. The ingestion layer is what scales. This distinction determines every decision that follows.</w:t>
      </w:r>
    </w:p>
    <w:p w:rsidR="00865D60" w:rsidRDefault="00865D60"/>
    <w:p w:rsidR="00865D60" w:rsidRDefault="00BE3102">
      <w:pPr>
        <w:pStyle w:val="Heading2"/>
        <w:pBdr>
          <w:bottom w:val="single" w:sz="6" w:space="4" w:color="2563EB"/>
        </w:pBdr>
      </w:pPr>
      <w:r>
        <w:t>2.1 Why Kafka Is the Permanent Answer</w:t>
      </w:r>
    </w:p>
    <w:p w:rsidR="00865D60" w:rsidRDefault="00BE3102">
      <w:pPr>
        <w:spacing w:before="80" w:after="80"/>
      </w:pPr>
      <w:r>
        <w:t>Without a message queue, vessels</w:t>
      </w:r>
      <w:r>
        <w:t xml:space="preserve"> write directly to the database. At 10 vessels this works fine. At 1,000 vessels with simultaneous reporting bursts, the database receives 10,000 concurrent write requests and chokes. At 10,000 vessels it collapses entirely.</w:t>
      </w:r>
    </w:p>
    <w:p w:rsidR="00865D60" w:rsidRDefault="00865D60"/>
    <w:p w:rsidR="00865D60" w:rsidRDefault="00BE3102">
      <w:pPr>
        <w:spacing w:before="80" w:after="80"/>
      </w:pPr>
      <w:r>
        <w:t>With Kafka in front of the dat</w:t>
      </w:r>
      <w:r>
        <w:t>abase, this problem disappears permanently:</w:t>
      </w:r>
    </w:p>
    <w:p w:rsidR="00865D60" w:rsidRDefault="00865D6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65D60">
        <w:tblPrEx>
          <w:tblCellMar>
            <w:top w:w="0" w:type="dxa"/>
            <w:bottom w:w="0" w:type="dxa"/>
          </w:tblCellMar>
        </w:tblPrEx>
        <w:tc>
          <w:tcPr>
            <w:tcW w:w="9360" w:type="dxa"/>
            <w:tcBorders>
              <w:top w:val="single" w:sz="1" w:space="0" w:color="334155"/>
              <w:left w:val="single" w:sz="1" w:space="0" w:color="334155"/>
              <w:bottom w:val="single" w:sz="1" w:space="0" w:color="334155"/>
              <w:right w:val="single" w:sz="1" w:space="0" w:color="334155"/>
            </w:tcBorders>
            <w:shd w:val="clear" w:color="auto" w:fill="0F172A"/>
            <w:tcMar>
              <w:top w:w="140" w:type="dxa"/>
              <w:left w:w="200" w:type="dxa"/>
              <w:bottom w:w="140" w:type="dxa"/>
              <w:right w:w="200" w:type="dxa"/>
            </w:tcMar>
          </w:tcPr>
          <w:p w:rsidR="00865D60" w:rsidRDefault="00BE3102">
            <w:r>
              <w:rPr>
                <w:rFonts w:ascii="Courier New" w:eastAsia="Courier New" w:hAnsi="Courier New" w:cs="Courier New"/>
                <w:color w:val="7DD3FC"/>
                <w:sz w:val="18"/>
                <w:szCs w:val="18"/>
              </w:rPr>
              <w:t>10 vessels:     Kafka receives   100 msgs/sec  →  3 workers drain queue  →  DB gets   100 inserts/sec</w:t>
            </w:r>
          </w:p>
          <w:p w:rsidR="00865D60" w:rsidRDefault="00BE3102">
            <w:r>
              <w:rPr>
                <w:rFonts w:ascii="Courier New" w:eastAsia="Courier New" w:hAnsi="Courier New" w:cs="Courier New"/>
                <w:color w:val="7DD3FC"/>
                <w:sz w:val="18"/>
                <w:szCs w:val="18"/>
              </w:rPr>
              <w:t>1,000 vessels:  Kafka receives 10,000 msgs/sec  →  10 workers drain queue →  DB gets 10,000 inserts/sec</w:t>
            </w:r>
          </w:p>
          <w:p w:rsidR="00865D60" w:rsidRDefault="00BE3102">
            <w:r>
              <w:rPr>
                <w:rFonts w:ascii="Courier New" w:eastAsia="Courier New" w:hAnsi="Courier New" w:cs="Courier New"/>
                <w:color w:val="7DD3FC"/>
                <w:sz w:val="18"/>
                <w:szCs w:val="18"/>
              </w:rPr>
              <w:t>10,00</w:t>
            </w:r>
            <w:r>
              <w:rPr>
                <w:rFonts w:ascii="Courier New" w:eastAsia="Courier New" w:hAnsi="Courier New" w:cs="Courier New"/>
                <w:color w:val="7DD3FC"/>
                <w:sz w:val="18"/>
                <w:szCs w:val="18"/>
              </w:rPr>
              <w:t>0 vessels: Kafka receives 100,000 msgs/sec →  30 workers drain queue →  DB gets 100,000 inserts/sec</w:t>
            </w:r>
          </w:p>
          <w:p w:rsidR="00865D60" w:rsidRDefault="00BE3102">
            <w:r>
              <w:rPr>
                <w:rFonts w:ascii="Courier New" w:eastAsia="Courier New" w:hAnsi="Courier New" w:cs="Courier New"/>
                <w:color w:val="7DD3FC"/>
                <w:sz w:val="18"/>
                <w:szCs w:val="18"/>
              </w:rPr>
              <w:t xml:space="preserve"> </w:t>
            </w:r>
          </w:p>
          <w:p w:rsidR="00865D60" w:rsidRDefault="00BE3102">
            <w:r>
              <w:rPr>
                <w:rFonts w:ascii="Courier New" w:eastAsia="Courier New" w:hAnsi="Courier New" w:cs="Courier New"/>
                <w:color w:val="7DD3FC"/>
                <w:sz w:val="18"/>
                <w:szCs w:val="18"/>
              </w:rPr>
              <w:t>Same architecture. Same database. Same application code.</w:t>
            </w:r>
          </w:p>
          <w:p w:rsidR="00865D60" w:rsidRDefault="00BE3102">
            <w:r>
              <w:rPr>
                <w:rFonts w:ascii="Courier New" w:eastAsia="Courier New" w:hAnsi="Courier New" w:cs="Courier New"/>
                <w:color w:val="7DD3FC"/>
                <w:sz w:val="18"/>
                <w:szCs w:val="18"/>
              </w:rPr>
              <w:t>Only the number of Kafka partitions and worker instances changes.</w:t>
            </w:r>
          </w:p>
          <w:p w:rsidR="00865D60" w:rsidRDefault="00BE3102">
            <w:r>
              <w:rPr>
                <w:rFonts w:ascii="Courier New" w:eastAsia="Courier New" w:hAnsi="Courier New" w:cs="Courier New"/>
                <w:color w:val="7DD3FC"/>
                <w:sz w:val="18"/>
                <w:szCs w:val="18"/>
              </w:rPr>
              <w:t>That is a configuration change — not a rewrite.</w:t>
            </w:r>
          </w:p>
        </w:tc>
      </w:tr>
    </w:tbl>
    <w:p w:rsidR="00865D60" w:rsidRDefault="00865D6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65D60">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166534"/>
            <w:tcMar>
              <w:top w:w="140" w:type="dxa"/>
              <w:left w:w="200" w:type="dxa"/>
              <w:bottom w:w="140" w:type="dxa"/>
              <w:right w:w="200" w:type="dxa"/>
            </w:tcMar>
          </w:tcPr>
          <w:p w:rsidR="00865D60" w:rsidRDefault="00BE3102" w:rsidP="00A27E87">
            <w:pPr>
              <w:spacing w:after="60"/>
            </w:pPr>
            <w:r w:rsidRPr="00A27E87">
              <w:rPr>
                <w:b/>
                <w:bCs/>
                <w:color w:val="FFFFFF" w:themeColor="background1"/>
                <w:sz w:val="21"/>
                <w:szCs w:val="21"/>
              </w:rPr>
              <w:t>✅</w:t>
            </w:r>
            <w:r w:rsidRPr="00A27E87">
              <w:rPr>
                <w:b/>
                <w:bCs/>
                <w:color w:val="FFFFFF" w:themeColor="background1"/>
                <w:sz w:val="21"/>
                <w:szCs w:val="21"/>
              </w:rPr>
              <w:t xml:space="preserve"> Key Insight  Kafka is what makes this architecture permanent. It decouples vessel count from database write pressure completely. MongoDB's native horizontal write scaling advantage disappears entirely whe</w:t>
            </w:r>
            <w:r w:rsidRPr="00A27E87">
              <w:rPr>
                <w:b/>
                <w:bCs/>
                <w:color w:val="FFFFFF" w:themeColor="background1"/>
                <w:sz w:val="21"/>
                <w:szCs w:val="21"/>
              </w:rPr>
              <w:t>n Kafka sits in front — because Kafka is what actually absorbs the scale, not the database.</w:t>
            </w:r>
          </w:p>
        </w:tc>
      </w:tr>
    </w:tbl>
    <w:p w:rsidR="00865D60" w:rsidRDefault="00865D60"/>
    <w:p w:rsidR="00865D60" w:rsidRDefault="00BE3102">
      <w:pPr>
        <w:pStyle w:val="Heading2"/>
        <w:pBdr>
          <w:bottom w:val="single" w:sz="6" w:space="4" w:color="2563EB"/>
        </w:pBdr>
      </w:pPr>
      <w:r>
        <w:t>2.2 TimescaleDB Write Capacity Reality</w:t>
      </w:r>
    </w:p>
    <w:p w:rsidR="00865D60" w:rsidRDefault="00BE3102">
      <w:pPr>
        <w:spacing w:before="80" w:after="80"/>
      </w:pPr>
      <w:r>
        <w:t>The concern about TimescaleDB write limits is valid — so here is the honest math:</w:t>
      </w:r>
    </w:p>
    <w:p w:rsidR="00865D60" w:rsidRDefault="00865D6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800"/>
        <w:gridCol w:w="1960"/>
      </w:tblGrid>
      <w:tr w:rsidR="00865D60">
        <w:tblPrEx>
          <w:tblCellMar>
            <w:top w:w="0" w:type="dxa"/>
            <w:bottom w:w="0" w:type="dxa"/>
          </w:tblCellMar>
        </w:tblPrEx>
        <w:trPr>
          <w:tblHeader/>
        </w:trPr>
        <w:tc>
          <w:tcPr>
            <w:tcW w:w="2200" w:type="dxa"/>
            <w:tcBorders>
              <w:top w:val="single" w:sz="1" w:space="0" w:color="D1D5DB"/>
              <w:left w:val="single" w:sz="1" w:space="0" w:color="D1D5DB"/>
              <w:bottom w:val="single" w:sz="1" w:space="0" w:color="D1D5DB"/>
              <w:right w:val="single" w:sz="1" w:space="0" w:color="D1D5DB"/>
            </w:tcBorders>
            <w:shd w:val="clear" w:color="auto" w:fill="0F2044"/>
            <w:tcMar>
              <w:top w:w="100" w:type="dxa"/>
              <w:left w:w="140" w:type="dxa"/>
              <w:bottom w:w="100" w:type="dxa"/>
              <w:right w:w="140" w:type="dxa"/>
            </w:tcMar>
          </w:tcPr>
          <w:p w:rsidR="00865D60" w:rsidRDefault="00BE3102">
            <w:r>
              <w:rPr>
                <w:b/>
                <w:bCs/>
                <w:color w:val="FFFFFF"/>
                <w:sz w:val="20"/>
                <w:szCs w:val="20"/>
              </w:rPr>
              <w:t>Vessel Count</w:t>
            </w:r>
          </w:p>
        </w:tc>
        <w:tc>
          <w:tcPr>
            <w:tcW w:w="2400" w:type="dxa"/>
            <w:tcBorders>
              <w:top w:val="single" w:sz="1" w:space="0" w:color="D1D5DB"/>
              <w:left w:val="single" w:sz="1" w:space="0" w:color="D1D5DB"/>
              <w:bottom w:val="single" w:sz="1" w:space="0" w:color="D1D5DB"/>
              <w:right w:val="single" w:sz="1" w:space="0" w:color="D1D5DB"/>
            </w:tcBorders>
            <w:shd w:val="clear" w:color="auto" w:fill="0F2044"/>
            <w:tcMar>
              <w:top w:w="100" w:type="dxa"/>
              <w:left w:w="140" w:type="dxa"/>
              <w:bottom w:w="100" w:type="dxa"/>
              <w:right w:w="140" w:type="dxa"/>
            </w:tcMar>
          </w:tcPr>
          <w:p w:rsidR="00865D60" w:rsidRDefault="00BE3102">
            <w:r>
              <w:rPr>
                <w:b/>
                <w:bCs/>
                <w:color w:val="FFFFFF"/>
                <w:sz w:val="20"/>
                <w:szCs w:val="20"/>
              </w:rPr>
              <w:t>Msgs/sec (10/vessel)</w:t>
            </w:r>
          </w:p>
        </w:tc>
        <w:tc>
          <w:tcPr>
            <w:tcW w:w="2800" w:type="dxa"/>
            <w:tcBorders>
              <w:top w:val="single" w:sz="1" w:space="0" w:color="D1D5DB"/>
              <w:left w:val="single" w:sz="1" w:space="0" w:color="D1D5DB"/>
              <w:bottom w:val="single" w:sz="1" w:space="0" w:color="D1D5DB"/>
              <w:right w:val="single" w:sz="1" w:space="0" w:color="D1D5DB"/>
            </w:tcBorders>
            <w:shd w:val="clear" w:color="auto" w:fill="0F2044"/>
            <w:tcMar>
              <w:top w:w="100" w:type="dxa"/>
              <w:left w:w="140" w:type="dxa"/>
              <w:bottom w:w="100" w:type="dxa"/>
              <w:right w:w="140" w:type="dxa"/>
            </w:tcMar>
          </w:tcPr>
          <w:p w:rsidR="00865D60" w:rsidRDefault="00BE3102">
            <w:r>
              <w:rPr>
                <w:b/>
                <w:bCs/>
                <w:color w:val="FFFFFF"/>
                <w:sz w:val="20"/>
                <w:szCs w:val="20"/>
              </w:rPr>
              <w:t>TimescaleDB Capacity (32GB RAM)</w:t>
            </w:r>
          </w:p>
        </w:tc>
        <w:tc>
          <w:tcPr>
            <w:tcW w:w="1960" w:type="dxa"/>
            <w:tcBorders>
              <w:top w:val="single" w:sz="1" w:space="0" w:color="D1D5DB"/>
              <w:left w:val="single" w:sz="1" w:space="0" w:color="D1D5DB"/>
              <w:bottom w:val="single" w:sz="1" w:space="0" w:color="D1D5DB"/>
              <w:right w:val="single" w:sz="1" w:space="0" w:color="D1D5DB"/>
            </w:tcBorders>
            <w:shd w:val="clear" w:color="auto" w:fill="0F2044"/>
            <w:tcMar>
              <w:top w:w="100" w:type="dxa"/>
              <w:left w:w="140" w:type="dxa"/>
              <w:bottom w:w="100" w:type="dxa"/>
              <w:right w:w="140" w:type="dxa"/>
            </w:tcMar>
          </w:tcPr>
          <w:p w:rsidR="00865D60" w:rsidRDefault="00BE3102">
            <w:r>
              <w:rPr>
                <w:b/>
                <w:bCs/>
                <w:color w:val="FFFFFF"/>
                <w:sz w:val="20"/>
                <w:szCs w:val="20"/>
              </w:rPr>
              <w:t>Status</w:t>
            </w:r>
          </w:p>
        </w:tc>
      </w:tr>
      <w:tr w:rsidR="00865D60">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10 vessels</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100 rows/sec</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~500,000 rows/sec</w:t>
            </w:r>
          </w:p>
        </w:tc>
        <w:tc>
          <w:tcPr>
            <w:tcW w:w="19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w:t>
            </w:r>
            <w:r>
              <w:rPr>
                <w:sz w:val="20"/>
                <w:szCs w:val="20"/>
              </w:rPr>
              <w:t xml:space="preserve"> 5,000x headroom</w:t>
            </w:r>
          </w:p>
        </w:tc>
      </w:tr>
      <w:tr w:rsidR="00865D60">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1,000 vessels</w:t>
            </w:r>
          </w:p>
        </w:tc>
        <w:tc>
          <w:tcPr>
            <w:tcW w:w="24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10,000 rows/sec</w:t>
            </w:r>
          </w:p>
        </w:tc>
        <w:tc>
          <w:tcPr>
            <w:tcW w:w="28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~500,000 rows/sec</w:t>
            </w:r>
          </w:p>
        </w:tc>
        <w:tc>
          <w:tcPr>
            <w:tcW w:w="196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w:t>
            </w:r>
            <w:r>
              <w:rPr>
                <w:sz w:val="20"/>
                <w:szCs w:val="20"/>
              </w:rPr>
              <w:t xml:space="preserve"> 50x headroom</w:t>
            </w:r>
          </w:p>
        </w:tc>
      </w:tr>
      <w:tr w:rsidR="00865D60">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5,000 vessels</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50,000 rows/sec</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~500,000 rows/sec</w:t>
            </w:r>
          </w:p>
        </w:tc>
        <w:tc>
          <w:tcPr>
            <w:tcW w:w="19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w:t>
            </w:r>
            <w:r>
              <w:rPr>
                <w:sz w:val="20"/>
                <w:szCs w:val="20"/>
              </w:rPr>
              <w:t xml:space="preserve"> 10x headroom</w:t>
            </w:r>
          </w:p>
        </w:tc>
      </w:tr>
      <w:tr w:rsidR="00865D60">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10,000 vessels</w:t>
            </w:r>
          </w:p>
        </w:tc>
        <w:tc>
          <w:tcPr>
            <w:tcW w:w="24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100,000 rows/sec</w:t>
            </w:r>
          </w:p>
        </w:tc>
        <w:tc>
          <w:tcPr>
            <w:tcW w:w="28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~500,000 rows/sec</w:t>
            </w:r>
          </w:p>
        </w:tc>
        <w:tc>
          <w:tcPr>
            <w:tcW w:w="196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w:t>
            </w:r>
            <w:r>
              <w:rPr>
                <w:sz w:val="20"/>
                <w:szCs w:val="20"/>
              </w:rPr>
              <w:t xml:space="preserve"> 5x headroom</w:t>
            </w:r>
          </w:p>
        </w:tc>
      </w:tr>
      <w:tr w:rsidR="00865D60">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50,000 vessels</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500,000 rows/sec</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~500,000 rows/sec</w:t>
            </w:r>
          </w:p>
        </w:tc>
        <w:tc>
          <w:tcPr>
            <w:tcW w:w="19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w:t>
            </w:r>
            <w:r>
              <w:rPr>
                <w:sz w:val="20"/>
                <w:szCs w:val="20"/>
              </w:rPr>
              <w:t>️</w:t>
            </w:r>
            <w:r>
              <w:rPr>
                <w:sz w:val="20"/>
                <w:szCs w:val="20"/>
              </w:rPr>
              <w:t xml:space="preserve"> Add Citus nodes</w:t>
            </w:r>
          </w:p>
        </w:tc>
      </w:tr>
    </w:tbl>
    <w:p w:rsidR="00865D60" w:rsidRDefault="00865D60"/>
    <w:p w:rsidR="00865D60" w:rsidRDefault="00BE3102">
      <w:pPr>
        <w:spacing w:before="80" w:after="80"/>
      </w:pPr>
      <w:r>
        <w:t>At 10,000 vessels, TimescaleDB on 32GB RAM still has 5x headroom. The platform reaches enterprise scale before the database becomes the bottleneck.</w:t>
      </w:r>
    </w:p>
    <w:p w:rsidR="00865D60" w:rsidRDefault="00865D60"/>
    <w:p w:rsidR="00865D60" w:rsidRDefault="00BE3102">
      <w:pPr>
        <w:pStyle w:val="Heading2"/>
        <w:pBdr>
          <w:bottom w:val="single" w:sz="6" w:space="4" w:color="2563EB"/>
        </w:pBdr>
      </w:pPr>
      <w:r>
        <w:t>2.3 The Citus Safety Net (Zero Rewrite)</w:t>
      </w:r>
    </w:p>
    <w:p w:rsidR="00865D60" w:rsidRDefault="00BE3102">
      <w:pPr>
        <w:spacing w:before="80" w:after="80"/>
      </w:pPr>
      <w:r>
        <w:t>If write limits are ever approached, Citus — a PostgreSQL extension</w:t>
      </w:r>
      <w:r>
        <w:t xml:space="preserve"> — distributes TimescaleDB across multiple nodes. The critical point: this requires no application code changes, no schema changes, and no data migration strategy redesign.</w:t>
      </w:r>
    </w:p>
    <w:p w:rsidR="00865D60" w:rsidRDefault="00865D6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65D60">
        <w:tblPrEx>
          <w:tblCellMar>
            <w:top w:w="0" w:type="dxa"/>
            <w:bottom w:w="0" w:type="dxa"/>
          </w:tblCellMar>
        </w:tblPrEx>
        <w:tc>
          <w:tcPr>
            <w:tcW w:w="9360" w:type="dxa"/>
            <w:tcBorders>
              <w:top w:val="single" w:sz="1" w:space="0" w:color="334155"/>
              <w:left w:val="single" w:sz="1" w:space="0" w:color="334155"/>
              <w:bottom w:val="single" w:sz="1" w:space="0" w:color="334155"/>
              <w:right w:val="single" w:sz="1" w:space="0" w:color="334155"/>
            </w:tcBorders>
            <w:shd w:val="clear" w:color="auto" w:fill="0F172A"/>
            <w:tcMar>
              <w:top w:w="140" w:type="dxa"/>
              <w:left w:w="200" w:type="dxa"/>
              <w:bottom w:w="140" w:type="dxa"/>
              <w:right w:w="200" w:type="dxa"/>
            </w:tcMar>
          </w:tcPr>
          <w:p w:rsidR="00865D60" w:rsidRDefault="00BE3102">
            <w:r>
              <w:rPr>
                <w:rFonts w:ascii="Courier New" w:eastAsia="Courier New" w:hAnsi="Courier New" w:cs="Courier New"/>
                <w:color w:val="7DD3FC"/>
                <w:sz w:val="18"/>
                <w:szCs w:val="18"/>
              </w:rPr>
              <w:t>-- This single command distributes unified_data across N nodes</w:t>
            </w:r>
          </w:p>
          <w:p w:rsidR="00865D60" w:rsidRDefault="00BE3102">
            <w:r>
              <w:rPr>
                <w:rFonts w:ascii="Courier New" w:eastAsia="Courier New" w:hAnsi="Courier New" w:cs="Courier New"/>
                <w:color w:val="7DD3FC"/>
                <w:sz w:val="18"/>
                <w:szCs w:val="18"/>
              </w:rPr>
              <w:t>-- Your entire appl</w:t>
            </w:r>
            <w:r>
              <w:rPr>
                <w:rFonts w:ascii="Courier New" w:eastAsia="Courier New" w:hAnsi="Courier New" w:cs="Courier New"/>
                <w:color w:val="7DD3FC"/>
                <w:sz w:val="18"/>
                <w:szCs w:val="18"/>
              </w:rPr>
              <w:t>ication continues working unchanged</w:t>
            </w:r>
          </w:p>
          <w:p w:rsidR="00865D60" w:rsidRDefault="00BE3102">
            <w:r>
              <w:rPr>
                <w:rFonts w:ascii="Courier New" w:eastAsia="Courier New" w:hAnsi="Courier New" w:cs="Courier New"/>
                <w:color w:val="7DD3FC"/>
                <w:sz w:val="18"/>
                <w:szCs w:val="18"/>
              </w:rPr>
              <w:t>-- vessel_id is the shard key — optimal for your data model</w:t>
            </w:r>
          </w:p>
          <w:p w:rsidR="00865D60" w:rsidRDefault="00BE3102">
            <w:r>
              <w:rPr>
                <w:rFonts w:ascii="Courier New" w:eastAsia="Courier New" w:hAnsi="Courier New" w:cs="Courier New"/>
                <w:color w:val="7DD3FC"/>
                <w:sz w:val="18"/>
                <w:szCs w:val="18"/>
              </w:rPr>
              <w:t xml:space="preserve"> </w:t>
            </w:r>
          </w:p>
          <w:p w:rsidR="00865D60" w:rsidRDefault="00BE3102">
            <w:r>
              <w:rPr>
                <w:rFonts w:ascii="Courier New" w:eastAsia="Courier New" w:hAnsi="Courier New" w:cs="Courier New"/>
                <w:color w:val="7DD3FC"/>
                <w:sz w:val="18"/>
                <w:szCs w:val="18"/>
              </w:rPr>
              <w:t>SELECT create_distributed_table('unified_data', 'vessel_id');</w:t>
            </w:r>
          </w:p>
          <w:p w:rsidR="00865D60" w:rsidRDefault="00BE3102">
            <w:r>
              <w:rPr>
                <w:rFonts w:ascii="Courier New" w:eastAsia="Courier New" w:hAnsi="Courier New" w:cs="Courier New"/>
                <w:color w:val="7DD3FC"/>
                <w:sz w:val="18"/>
                <w:szCs w:val="18"/>
              </w:rPr>
              <w:t xml:space="preserve"> </w:t>
            </w:r>
          </w:p>
          <w:p w:rsidR="00865D60" w:rsidRDefault="00BE3102">
            <w:r>
              <w:rPr>
                <w:rFonts w:ascii="Courier New" w:eastAsia="Courier New" w:hAnsi="Courier New" w:cs="Courier New"/>
                <w:color w:val="7DD3FC"/>
                <w:sz w:val="18"/>
                <w:szCs w:val="18"/>
              </w:rPr>
              <w:t>-- Add nodes with zero downtime</w:t>
            </w:r>
          </w:p>
          <w:p w:rsidR="00865D60" w:rsidRDefault="00BE3102">
            <w:r>
              <w:rPr>
                <w:rFonts w:ascii="Courier New" w:eastAsia="Courier New" w:hAnsi="Courier New" w:cs="Courier New"/>
                <w:color w:val="7DD3FC"/>
                <w:sz w:val="18"/>
                <w:szCs w:val="18"/>
              </w:rPr>
              <w:t>-- All existing SQL queries continue working</w:t>
            </w:r>
          </w:p>
          <w:p w:rsidR="00865D60" w:rsidRDefault="00BE3102">
            <w:r>
              <w:rPr>
                <w:rFonts w:ascii="Courier New" w:eastAsia="Courier New" w:hAnsi="Courier New" w:cs="Courier New"/>
                <w:color w:val="7DD3FC"/>
                <w:sz w:val="18"/>
                <w:szCs w:val="18"/>
              </w:rPr>
              <w:t>-- All TimescaleDB features continue working</w:t>
            </w:r>
          </w:p>
          <w:p w:rsidR="00865D60" w:rsidRDefault="00BE3102">
            <w:r>
              <w:rPr>
                <w:rFonts w:ascii="Courier New" w:eastAsia="Courier New" w:hAnsi="Courier New" w:cs="Courier New"/>
                <w:color w:val="7DD3FC"/>
                <w:sz w:val="18"/>
                <w:szCs w:val="18"/>
              </w:rPr>
              <w:t>-- All application code continues working</w:t>
            </w:r>
          </w:p>
        </w:tc>
      </w:tr>
    </w:tbl>
    <w:p w:rsidR="00865D60" w:rsidRDefault="00865D6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65D60">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92400E"/>
            <w:tcMar>
              <w:top w:w="140" w:type="dxa"/>
              <w:left w:w="200" w:type="dxa"/>
              <w:bottom w:w="140" w:type="dxa"/>
              <w:right w:w="200" w:type="dxa"/>
            </w:tcMar>
          </w:tcPr>
          <w:p w:rsidR="00865D60" w:rsidRDefault="00BE3102" w:rsidP="00A27E87">
            <w:pPr>
              <w:spacing w:after="60"/>
            </w:pPr>
            <w:r w:rsidRPr="00A27E87">
              <w:rPr>
                <w:b/>
                <w:bCs/>
                <w:color w:val="FFFFFF" w:themeColor="background1"/>
                <w:sz w:val="21"/>
                <w:szCs w:val="21"/>
              </w:rPr>
              <w:t>⚠</w:t>
            </w:r>
            <w:r w:rsidRPr="00A27E87">
              <w:rPr>
                <w:b/>
                <w:bCs/>
                <w:color w:val="FFFFFF" w:themeColor="background1"/>
                <w:sz w:val="21"/>
                <w:szCs w:val="21"/>
              </w:rPr>
              <w:t>️</w:t>
            </w:r>
            <w:r w:rsidRPr="00A27E87">
              <w:rPr>
                <w:b/>
                <w:bCs/>
                <w:color w:val="FFFFFF" w:themeColor="background1"/>
                <w:sz w:val="21"/>
                <w:szCs w:val="21"/>
              </w:rPr>
              <w:t xml:space="preserve"> MongoDB vs Citus for Horizontal Writes</w:t>
            </w:r>
            <w:r w:rsidR="00A27E87">
              <w:rPr>
                <w:b/>
                <w:bCs/>
                <w:color w:val="FFFFFF" w:themeColor="background1"/>
                <w:sz w:val="21"/>
                <w:szCs w:val="21"/>
              </w:rPr>
              <w:t xml:space="preserve"> -</w:t>
            </w:r>
            <w:r w:rsidRPr="00A27E87">
              <w:rPr>
                <w:b/>
                <w:bCs/>
                <w:color w:val="FFFFFF" w:themeColor="background1"/>
                <w:sz w:val="21"/>
                <w:szCs w:val="21"/>
              </w:rPr>
              <w:t xml:space="preserve">  MongoDB requires: Mongos router + config servers + careful shard key design upfront + loss of JOIN performance across shards</w:t>
            </w:r>
            <w:r w:rsidRPr="00A27E87">
              <w:rPr>
                <w:b/>
                <w:bCs/>
                <w:color w:val="FFFFFF" w:themeColor="background1"/>
                <w:sz w:val="21"/>
                <w:szCs w:val="21"/>
              </w:rPr>
              <w:t xml:space="preserve"> + still needs Kafka. Citus requires: one SQL command + vessel_id shard key (already in your schema) + full SQL preserved across shards + still needs Kafka. Both need Kafka. Citus is the cleaner solution for this data model.</w:t>
            </w:r>
          </w:p>
        </w:tc>
      </w:tr>
    </w:tbl>
    <w:p w:rsidR="00865D60" w:rsidRDefault="00BE3102">
      <w:r>
        <w:br w:type="page"/>
      </w:r>
    </w:p>
    <w:p w:rsidR="00865D60" w:rsidRDefault="00BE3102">
      <w:pPr>
        <w:pStyle w:val="Heading1"/>
      </w:pPr>
      <w:r>
        <w:t>3. Database Technology Decision</w:t>
      </w:r>
    </w:p>
    <w:p w:rsidR="00865D60" w:rsidRDefault="00BE3102">
      <w:pPr>
        <w:pStyle w:val="Heading2"/>
        <w:pBdr>
          <w:bottom w:val="single" w:sz="6" w:space="4" w:color="2563EB"/>
        </w:pBdr>
      </w:pPr>
      <w:r>
        <w:t>3.1 TimescaleDB vs MongoDB — Final Comparison</w:t>
      </w:r>
    </w:p>
    <w:p w:rsidR="00865D60" w:rsidRDefault="00865D6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2600"/>
        <w:gridCol w:w="1560"/>
      </w:tblGrid>
      <w:tr w:rsidR="00865D60">
        <w:tblPrEx>
          <w:tblCellMar>
            <w:top w:w="0" w:type="dxa"/>
            <w:bottom w:w="0" w:type="dxa"/>
          </w:tblCellMar>
        </w:tblPrEx>
        <w:trPr>
          <w:tblHeader/>
        </w:trPr>
        <w:tc>
          <w:tcPr>
            <w:tcW w:w="2600" w:type="dxa"/>
            <w:tcBorders>
              <w:top w:val="single" w:sz="1" w:space="0" w:color="D1D5DB"/>
              <w:left w:val="single" w:sz="1" w:space="0" w:color="D1D5DB"/>
              <w:bottom w:val="single" w:sz="1" w:space="0" w:color="D1D5DB"/>
              <w:right w:val="single" w:sz="1" w:space="0" w:color="D1D5DB"/>
            </w:tcBorders>
            <w:shd w:val="clear" w:color="auto" w:fill="0F2044"/>
            <w:tcMar>
              <w:top w:w="100" w:type="dxa"/>
              <w:left w:w="140" w:type="dxa"/>
              <w:bottom w:w="100" w:type="dxa"/>
              <w:right w:w="140" w:type="dxa"/>
            </w:tcMar>
          </w:tcPr>
          <w:p w:rsidR="00865D60" w:rsidRDefault="00BE3102">
            <w:r>
              <w:rPr>
                <w:b/>
                <w:bCs/>
                <w:color w:val="FFFFFF"/>
                <w:sz w:val="20"/>
                <w:szCs w:val="20"/>
              </w:rPr>
              <w:t>Factor</w:t>
            </w:r>
          </w:p>
        </w:tc>
        <w:tc>
          <w:tcPr>
            <w:tcW w:w="2600" w:type="dxa"/>
            <w:tcBorders>
              <w:top w:val="single" w:sz="1" w:space="0" w:color="D1D5DB"/>
              <w:left w:val="single" w:sz="1" w:space="0" w:color="D1D5DB"/>
              <w:bottom w:val="single" w:sz="1" w:space="0" w:color="D1D5DB"/>
              <w:right w:val="single" w:sz="1" w:space="0" w:color="D1D5DB"/>
            </w:tcBorders>
            <w:shd w:val="clear" w:color="auto" w:fill="0F2044"/>
            <w:tcMar>
              <w:top w:w="100" w:type="dxa"/>
              <w:left w:w="140" w:type="dxa"/>
              <w:bottom w:w="100" w:type="dxa"/>
              <w:right w:w="140" w:type="dxa"/>
            </w:tcMar>
          </w:tcPr>
          <w:p w:rsidR="00865D60" w:rsidRDefault="00BE3102">
            <w:r>
              <w:rPr>
                <w:b/>
                <w:bCs/>
                <w:color w:val="FFFFFF"/>
                <w:sz w:val="20"/>
                <w:szCs w:val="20"/>
              </w:rPr>
              <w:t>MongoDB</w:t>
            </w:r>
          </w:p>
        </w:tc>
        <w:tc>
          <w:tcPr>
            <w:tcW w:w="2600" w:type="dxa"/>
            <w:tcBorders>
              <w:top w:val="single" w:sz="1" w:space="0" w:color="D1D5DB"/>
              <w:left w:val="single" w:sz="1" w:space="0" w:color="D1D5DB"/>
              <w:bottom w:val="single" w:sz="1" w:space="0" w:color="D1D5DB"/>
              <w:right w:val="single" w:sz="1" w:space="0" w:color="D1D5DB"/>
            </w:tcBorders>
            <w:shd w:val="clear" w:color="auto" w:fill="0F2044"/>
            <w:tcMar>
              <w:top w:w="100" w:type="dxa"/>
              <w:left w:w="140" w:type="dxa"/>
              <w:bottom w:w="100" w:type="dxa"/>
              <w:right w:w="140" w:type="dxa"/>
            </w:tcMar>
          </w:tcPr>
          <w:p w:rsidR="00865D60" w:rsidRDefault="00BE3102">
            <w:r>
              <w:rPr>
                <w:b/>
                <w:bCs/>
                <w:color w:val="FFFFFF"/>
                <w:sz w:val="20"/>
                <w:szCs w:val="20"/>
              </w:rPr>
              <w:t>TimescaleDB</w:t>
            </w:r>
          </w:p>
        </w:tc>
        <w:tc>
          <w:tcPr>
            <w:tcW w:w="1560" w:type="dxa"/>
            <w:tcBorders>
              <w:top w:val="single" w:sz="1" w:space="0" w:color="D1D5DB"/>
              <w:left w:val="single" w:sz="1" w:space="0" w:color="D1D5DB"/>
              <w:bottom w:val="single" w:sz="1" w:space="0" w:color="D1D5DB"/>
              <w:right w:val="single" w:sz="1" w:space="0" w:color="D1D5DB"/>
            </w:tcBorders>
            <w:shd w:val="clear" w:color="auto" w:fill="0F2044"/>
            <w:tcMar>
              <w:top w:w="100" w:type="dxa"/>
              <w:left w:w="140" w:type="dxa"/>
              <w:bottom w:w="100" w:type="dxa"/>
              <w:right w:w="140" w:type="dxa"/>
            </w:tcMar>
          </w:tcPr>
          <w:p w:rsidR="00865D60" w:rsidRDefault="00BE3102">
            <w:r>
              <w:rPr>
                <w:b/>
                <w:bCs/>
                <w:color w:val="FFFFFF"/>
                <w:sz w:val="20"/>
                <w:szCs w:val="20"/>
              </w:rPr>
              <w:t>Winner</w:t>
            </w:r>
          </w:p>
        </w:tc>
      </w:tr>
      <w:tr w:rsidR="00865D60">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Time-range queries</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Manual indexing</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Native chunk-pruning</w:t>
            </w:r>
          </w:p>
        </w:tc>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TimescaleDB ✅</w:t>
            </w:r>
          </w:p>
        </w:tc>
      </w:tr>
      <w:tr w:rsidR="00865D60">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Relational joins</w:t>
            </w:r>
          </w:p>
        </w:tc>
        <w:tc>
          <w:tcPr>
            <w:tcW w:w="26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Very slow or impossible</w:t>
            </w:r>
          </w:p>
        </w:tc>
        <w:tc>
          <w:tcPr>
            <w:tcW w:w="26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Native SQL</w:t>
            </w:r>
          </w:p>
        </w:tc>
        <w:tc>
          <w:tcPr>
            <w:tcW w:w="156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TimescaleDB ✅</w:t>
            </w:r>
          </w:p>
        </w:tc>
      </w:tr>
      <w:tr w:rsidR="00865D60">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Storage compression</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30–40%</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90–95% columnar</w:t>
            </w:r>
          </w:p>
        </w:tc>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TimescaleDB ✅</w:t>
            </w:r>
          </w:p>
        </w:tc>
      </w:tr>
      <w:tr w:rsidR="00865D60">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Schema flexibility</w:t>
            </w:r>
          </w:p>
        </w:tc>
        <w:tc>
          <w:tcPr>
            <w:tcW w:w="26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Native document model</w:t>
            </w:r>
          </w:p>
        </w:tc>
        <w:tc>
          <w:tcPr>
            <w:tcW w:w="26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JSONB column (equivalent)</w:t>
            </w:r>
          </w:p>
        </w:tc>
        <w:tc>
          <w:tcPr>
            <w:tcW w:w="156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Tie ✅</w:t>
            </w:r>
          </w:p>
        </w:tc>
      </w:tr>
      <w:tr w:rsidR="00865D60">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ACID transactions</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Partial (since v4.0)</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Full</w:t>
            </w:r>
          </w:p>
        </w:tc>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TimescaleDB ✅</w:t>
            </w:r>
          </w:p>
        </w:tc>
      </w:tr>
      <w:tr w:rsidR="00865D60">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Aggregations</w:t>
            </w:r>
          </w:p>
        </w:tc>
        <w:tc>
          <w:tcPr>
            <w:tcW w:w="26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Aggregation pipeline</w:t>
            </w:r>
          </w:p>
        </w:tc>
        <w:tc>
          <w:tcPr>
            <w:tcW w:w="26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SQL + continuous aggregates</w:t>
            </w:r>
          </w:p>
        </w:tc>
        <w:tc>
          <w:tcPr>
            <w:tcW w:w="156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TimescaleDB ✅</w:t>
            </w:r>
          </w:p>
        </w:tc>
      </w:tr>
      <w:tr w:rsidR="00865D60">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Horizontal write scale</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Native (Mongos sharding)</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Citus extension (1 SQL command)</w:t>
            </w:r>
          </w:p>
        </w:tc>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Tie ✅</w:t>
            </w:r>
          </w:p>
        </w:tc>
      </w:tr>
      <w:tr w:rsidR="00865D60">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Operational complexity</w:t>
            </w:r>
          </w:p>
        </w:tc>
        <w:tc>
          <w:tcPr>
            <w:tcW w:w="26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High (replica sets, Mongos)</w:t>
            </w:r>
          </w:p>
        </w:tc>
        <w:tc>
          <w:tcPr>
            <w:tcW w:w="26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Low (standard Postgres)</w:t>
            </w:r>
          </w:p>
        </w:tc>
        <w:tc>
          <w:tcPr>
            <w:tcW w:w="156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TimescaleDB ✅</w:t>
            </w:r>
          </w:p>
        </w:tc>
      </w:tr>
      <w:tr w:rsidR="00865D60">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Cost at scale</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$800–1,200/month</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$630–700/month</w:t>
            </w:r>
          </w:p>
        </w:tc>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TimescaleDB ✅</w:t>
            </w:r>
          </w:p>
        </w:tc>
      </w:tr>
      <w:tr w:rsidR="00865D60">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Permanent scalability</w:t>
            </w:r>
          </w:p>
        </w:tc>
        <w:tc>
          <w:tcPr>
            <w:tcW w:w="26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Yes (with Kafka)</w:t>
            </w:r>
          </w:p>
        </w:tc>
        <w:tc>
          <w:tcPr>
            <w:tcW w:w="26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Yes (with Kafka + Citus)</w:t>
            </w:r>
          </w:p>
        </w:tc>
        <w:tc>
          <w:tcPr>
            <w:tcW w:w="156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Tie ✅</w:t>
            </w:r>
          </w:p>
        </w:tc>
      </w:tr>
    </w:tbl>
    <w:p w:rsidR="00865D60" w:rsidRDefault="00865D60"/>
    <w:p w:rsidR="00865D60" w:rsidRDefault="00BE3102">
      <w:pPr>
        <w:spacing w:before="80" w:after="80"/>
      </w:pPr>
      <w:r>
        <w:t>MongoDB's horizontal write scaling advantage — the only argument in its favour — is neutralised by Citus and rendered irrelevant by Kafka. TimescaleDB wins on every dimension that matters for this platform.</w:t>
      </w:r>
    </w:p>
    <w:p w:rsidR="00865D60" w:rsidRDefault="00865D60"/>
    <w:p w:rsidR="00865D60" w:rsidRDefault="00BE3102">
      <w:pPr>
        <w:pStyle w:val="Heading2"/>
        <w:pBdr>
          <w:bottom w:val="single" w:sz="6" w:space="4" w:color="2563EB"/>
        </w:pBdr>
      </w:pPr>
      <w:r>
        <w:t>3.2 Handling Dynamic Sensor Fields</w:t>
      </w:r>
    </w:p>
    <w:p w:rsidR="00865D60" w:rsidRDefault="00BE3102">
      <w:pPr>
        <w:spacing w:before="80" w:after="80"/>
      </w:pPr>
      <w:r>
        <w:t>Different ves</w:t>
      </w:r>
      <w:r>
        <w:t>sels send data with different property names. This is a real problem — but it does not require MongoDB. It requires a hybrid schema.</w:t>
      </w:r>
    </w:p>
    <w:p w:rsidR="00865D60" w:rsidRDefault="00865D6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65D60">
        <w:tblPrEx>
          <w:tblCellMar>
            <w:top w:w="0" w:type="dxa"/>
            <w:bottom w:w="0" w:type="dxa"/>
          </w:tblCellMar>
        </w:tblPrEx>
        <w:tc>
          <w:tcPr>
            <w:tcW w:w="9360" w:type="dxa"/>
            <w:tcBorders>
              <w:top w:val="single" w:sz="1" w:space="0" w:color="334155"/>
              <w:left w:val="single" w:sz="1" w:space="0" w:color="334155"/>
              <w:bottom w:val="single" w:sz="1" w:space="0" w:color="334155"/>
              <w:right w:val="single" w:sz="1" w:space="0" w:color="334155"/>
            </w:tcBorders>
            <w:shd w:val="clear" w:color="auto" w:fill="0F172A"/>
            <w:tcMar>
              <w:top w:w="140" w:type="dxa"/>
              <w:left w:w="200" w:type="dxa"/>
              <w:bottom w:w="140" w:type="dxa"/>
              <w:right w:w="200" w:type="dxa"/>
            </w:tcMar>
          </w:tcPr>
          <w:p w:rsidR="00865D60" w:rsidRDefault="00BE3102">
            <w:r>
              <w:rPr>
                <w:rFonts w:ascii="Courier New" w:eastAsia="Courier New" w:hAnsi="Courier New" w:cs="Courier New"/>
                <w:color w:val="7DD3FC"/>
                <w:sz w:val="18"/>
                <w:szCs w:val="18"/>
              </w:rPr>
              <w:t>CREATE TABLE unified_data (</w:t>
            </w:r>
          </w:p>
          <w:p w:rsidR="00865D60" w:rsidRDefault="00BE3102">
            <w:r>
              <w:rPr>
                <w:rFonts w:ascii="Courier New" w:eastAsia="Courier New" w:hAnsi="Courier New" w:cs="Courier New"/>
                <w:color w:val="7DD3FC"/>
                <w:sz w:val="18"/>
                <w:szCs w:val="18"/>
              </w:rPr>
              <w:t xml:space="preserve">  id            BIGSERIAL,</w:t>
            </w:r>
          </w:p>
          <w:p w:rsidR="00865D60" w:rsidRDefault="00BE3102">
            <w:r>
              <w:rPr>
                <w:rFonts w:ascii="Courier New" w:eastAsia="Courier New" w:hAnsi="Courier New" w:cs="Courier New"/>
                <w:color w:val="7DD3FC"/>
                <w:sz w:val="18"/>
                <w:szCs w:val="18"/>
              </w:rPr>
              <w:t xml:space="preserve">  client_id     INT NOT NULL,</w:t>
            </w:r>
          </w:p>
          <w:p w:rsidR="00865D60" w:rsidRDefault="00BE3102">
            <w:r>
              <w:rPr>
                <w:rFonts w:ascii="Courier New" w:eastAsia="Courier New" w:hAnsi="Courier New" w:cs="Courier New"/>
                <w:color w:val="7DD3FC"/>
                <w:sz w:val="18"/>
                <w:szCs w:val="18"/>
              </w:rPr>
              <w:t xml:space="preserve">  vessel_id     INT NOT NULL,</w:t>
            </w:r>
          </w:p>
          <w:p w:rsidR="00865D60" w:rsidRDefault="00BE3102">
            <w:r>
              <w:rPr>
                <w:rFonts w:ascii="Courier New" w:eastAsia="Courier New" w:hAnsi="Courier New" w:cs="Courier New"/>
                <w:color w:val="7DD3FC"/>
                <w:sz w:val="18"/>
                <w:szCs w:val="18"/>
              </w:rPr>
              <w:t xml:space="preserve">  recor</w:t>
            </w:r>
            <w:r>
              <w:rPr>
                <w:rFonts w:ascii="Courier New" w:eastAsia="Courier New" w:hAnsi="Courier New" w:cs="Courier New"/>
                <w:color w:val="7DD3FC"/>
                <w:sz w:val="18"/>
                <w:szCs w:val="18"/>
              </w:rPr>
              <w:t>ded_at   TIMESTAMPTZ NOT NULL,</w:t>
            </w:r>
          </w:p>
          <w:p w:rsidR="00865D60" w:rsidRDefault="00BE3102">
            <w:r>
              <w:rPr>
                <w:rFonts w:ascii="Courier New" w:eastAsia="Courier New" w:hAnsi="Courier New" w:cs="Courier New"/>
                <w:color w:val="7DD3FC"/>
                <w:sz w:val="18"/>
                <w:szCs w:val="18"/>
              </w:rPr>
              <w:t xml:space="preserve">  data_type     TEXT,          -- auto, manual</w:t>
            </w:r>
          </w:p>
          <w:p w:rsidR="00865D60" w:rsidRDefault="00BE3102">
            <w:r>
              <w:rPr>
                <w:rFonts w:ascii="Courier New" w:eastAsia="Courier New" w:hAnsi="Courier New" w:cs="Courier New"/>
                <w:color w:val="7DD3FC"/>
                <w:sz w:val="18"/>
                <w:szCs w:val="18"/>
              </w:rPr>
              <w:t xml:space="preserve">  source        TEXT,          -- canbus, nmea, manual</w:t>
            </w:r>
          </w:p>
          <w:p w:rsidR="00865D60" w:rsidRDefault="00BE3102">
            <w:r>
              <w:rPr>
                <w:rFonts w:ascii="Courier New" w:eastAsia="Courier New" w:hAnsi="Courier New" w:cs="Courier New"/>
                <w:color w:val="7DD3FC"/>
                <w:sz w:val="18"/>
                <w:szCs w:val="18"/>
              </w:rPr>
              <w:t xml:space="preserve"> </w:t>
            </w:r>
          </w:p>
          <w:p w:rsidR="00865D60" w:rsidRDefault="00BE3102">
            <w:r>
              <w:rPr>
                <w:rFonts w:ascii="Courier New" w:eastAsia="Courier New" w:hAnsi="Courier New" w:cs="Courier New"/>
                <w:color w:val="7DD3FC"/>
                <w:sz w:val="18"/>
                <w:szCs w:val="18"/>
              </w:rPr>
              <w:t xml:space="preserve">  -- Normalized KPIs: always present, indexed, fast to query</w:t>
            </w:r>
          </w:p>
          <w:p w:rsidR="00865D60" w:rsidRDefault="00BE3102">
            <w:r>
              <w:rPr>
                <w:rFonts w:ascii="Courier New" w:eastAsia="Courier New" w:hAnsi="Courier New" w:cs="Courier New"/>
                <w:color w:val="7DD3FC"/>
                <w:sz w:val="18"/>
                <w:szCs w:val="18"/>
              </w:rPr>
              <w:t xml:space="preserve">  speed_knots   NUMERIC,</w:t>
            </w:r>
          </w:p>
          <w:p w:rsidR="00865D60" w:rsidRDefault="00BE3102">
            <w:r>
              <w:rPr>
                <w:rFonts w:ascii="Courier New" w:eastAsia="Courier New" w:hAnsi="Courier New" w:cs="Courier New"/>
                <w:color w:val="7DD3FC"/>
                <w:sz w:val="18"/>
                <w:szCs w:val="18"/>
              </w:rPr>
              <w:t xml:space="preserve">  fuel_kg_hr    NUMERIC,</w:t>
            </w:r>
          </w:p>
          <w:p w:rsidR="00865D60" w:rsidRDefault="00BE3102">
            <w:r>
              <w:rPr>
                <w:rFonts w:ascii="Courier New" w:eastAsia="Courier New" w:hAnsi="Courier New" w:cs="Courier New"/>
                <w:color w:val="7DD3FC"/>
                <w:sz w:val="18"/>
                <w:szCs w:val="18"/>
              </w:rPr>
              <w:t xml:space="preserve">  rpm           NUMERIC,</w:t>
            </w:r>
          </w:p>
          <w:p w:rsidR="00865D60" w:rsidRDefault="00BE3102">
            <w:r>
              <w:rPr>
                <w:rFonts w:ascii="Courier New" w:eastAsia="Courier New" w:hAnsi="Courier New" w:cs="Courier New"/>
                <w:color w:val="7DD3FC"/>
                <w:sz w:val="18"/>
                <w:szCs w:val="18"/>
              </w:rPr>
              <w:t xml:space="preserve">  lat           NUMERIC,</w:t>
            </w:r>
          </w:p>
          <w:p w:rsidR="00865D60" w:rsidRDefault="00BE3102">
            <w:r>
              <w:rPr>
                <w:rFonts w:ascii="Courier New" w:eastAsia="Courier New" w:hAnsi="Courier New" w:cs="Courier New"/>
                <w:color w:val="7DD3FC"/>
                <w:sz w:val="18"/>
                <w:szCs w:val="18"/>
              </w:rPr>
              <w:t xml:space="preserve">  lng           NUMERIC,</w:t>
            </w:r>
          </w:p>
          <w:p w:rsidR="00865D60" w:rsidRDefault="00BE3102">
            <w:r>
              <w:rPr>
                <w:rFonts w:ascii="Courier New" w:eastAsia="Courier New" w:hAnsi="Courier New" w:cs="Courier New"/>
                <w:color w:val="7DD3FC"/>
                <w:sz w:val="18"/>
                <w:szCs w:val="18"/>
              </w:rPr>
              <w:t xml:space="preserve"> </w:t>
            </w:r>
          </w:p>
          <w:p w:rsidR="00865D60" w:rsidRDefault="00BE3102">
            <w:r>
              <w:rPr>
                <w:rFonts w:ascii="Courier New" w:eastAsia="Courier New" w:hAnsi="Courier New" w:cs="Courier New"/>
                <w:color w:val="7DD3FC"/>
                <w:sz w:val="18"/>
                <w:szCs w:val="18"/>
              </w:rPr>
              <w:t xml:space="preserve">  -- Dynamic fields: any sensor-specific or unknown field</w:t>
            </w:r>
          </w:p>
          <w:p w:rsidR="00865D60" w:rsidRDefault="00BE3102">
            <w:r>
              <w:rPr>
                <w:rFonts w:ascii="Courier New" w:eastAsia="Courier New" w:hAnsi="Courier New" w:cs="Courier New"/>
                <w:color w:val="7DD3FC"/>
                <w:sz w:val="18"/>
                <w:szCs w:val="18"/>
              </w:rPr>
              <w:t xml:space="preserve">  -- Fully queryable and indexable — MongoDB-level flexibility</w:t>
            </w:r>
          </w:p>
          <w:p w:rsidR="00865D60" w:rsidRDefault="00BE3102">
            <w:r>
              <w:rPr>
                <w:rFonts w:ascii="Courier New" w:eastAsia="Courier New" w:hAnsi="Courier New" w:cs="Courier New"/>
                <w:color w:val="7DD3FC"/>
                <w:sz w:val="18"/>
                <w:szCs w:val="18"/>
              </w:rPr>
              <w:t xml:space="preserve">  raw_payload   JSONB</w:t>
            </w:r>
          </w:p>
          <w:p w:rsidR="00865D60" w:rsidRDefault="00BE3102">
            <w:r>
              <w:rPr>
                <w:rFonts w:ascii="Courier New" w:eastAsia="Courier New" w:hAnsi="Courier New" w:cs="Courier New"/>
                <w:color w:val="7DD3FC"/>
                <w:sz w:val="18"/>
                <w:szCs w:val="18"/>
              </w:rPr>
              <w:t>);</w:t>
            </w:r>
          </w:p>
          <w:p w:rsidR="00865D60" w:rsidRDefault="00BE3102">
            <w:r>
              <w:rPr>
                <w:rFonts w:ascii="Courier New" w:eastAsia="Courier New" w:hAnsi="Courier New" w:cs="Courier New"/>
                <w:color w:val="7DD3FC"/>
                <w:sz w:val="18"/>
                <w:szCs w:val="18"/>
              </w:rPr>
              <w:t xml:space="preserve"> </w:t>
            </w:r>
          </w:p>
          <w:p w:rsidR="00865D60" w:rsidRDefault="00BE3102">
            <w:r>
              <w:rPr>
                <w:rFonts w:ascii="Courier New" w:eastAsia="Courier New" w:hAnsi="Courier New" w:cs="Courier New"/>
                <w:color w:val="7DD3FC"/>
                <w:sz w:val="18"/>
                <w:szCs w:val="18"/>
              </w:rPr>
              <w:t xml:space="preserve">-- Index JSONB fields that are </w:t>
            </w:r>
            <w:r>
              <w:rPr>
                <w:rFonts w:ascii="Courier New" w:eastAsia="Courier New" w:hAnsi="Courier New" w:cs="Courier New"/>
                <w:color w:val="7DD3FC"/>
                <w:sz w:val="18"/>
                <w:szCs w:val="18"/>
              </w:rPr>
              <w:t>queried frequently</w:t>
            </w:r>
          </w:p>
          <w:p w:rsidR="00865D60" w:rsidRDefault="00BE3102">
            <w:r>
              <w:rPr>
                <w:rFonts w:ascii="Courier New" w:eastAsia="Courier New" w:hAnsi="Courier New" w:cs="Courier New"/>
                <w:color w:val="7DD3FC"/>
                <w:sz w:val="18"/>
                <w:szCs w:val="18"/>
              </w:rPr>
              <w:t>CREATE INDEX idx_payload_gin ON unified_data USING GIN (raw_payload);</w:t>
            </w:r>
          </w:p>
        </w:tc>
      </w:tr>
    </w:tbl>
    <w:p w:rsidR="00865D60" w:rsidRDefault="00865D60"/>
    <w:p w:rsidR="00865D60" w:rsidRDefault="00BE3102">
      <w:pPr>
        <w:spacing w:before="80" w:after="80"/>
      </w:pPr>
      <w:r>
        <w:t>Sensor field mapping is stored in parameter_master_data in the Master DB. The ingestion normalization layer reads this mapping and routes each incoming field to either a standard column or raw_payload before insertion. Adding a new vessel sensor type requi</w:t>
      </w:r>
      <w:r>
        <w:t>res only a new row in parameter_master_data — zero code changes.</w:t>
      </w:r>
    </w:p>
    <w:p w:rsidR="00865D60" w:rsidRDefault="00BE3102">
      <w:pPr>
        <w:pStyle w:val="Heading2"/>
      </w:pPr>
      <w:r>
        <w:t>3.3 JSONB Performance with Sparse Client Fields</w:t>
      </w:r>
    </w:p>
    <w:p w:rsidR="00865D60" w:rsidRDefault="00BE3102">
      <w:pPr>
        <w:spacing w:before="80" w:after="80"/>
      </w:pPr>
      <w:r>
        <w:t>A critical real-world scenario is where different clients have largely unique sensor fields with only a few fields in common. For example, Clie</w:t>
      </w:r>
      <w:r>
        <w:t>nt A may have 12 sensor fields and Client B may have 15, with only 3 shared between them (such as rpm, speed, and fuel). This section directly addresses whether JSONB handles this well — and honestly compares it to MongoDB for this specific case.</w:t>
      </w:r>
    </w:p>
    <w:p w:rsidR="00865D60" w:rsidRDefault="00BE3102">
      <w:pPr>
        <w:spacing w:before="200" w:after="80"/>
      </w:pPr>
      <w:r>
        <w:rPr>
          <w:b/>
          <w:bCs/>
          <w:color w:val="0F2044"/>
          <w:sz w:val="23"/>
          <w:szCs w:val="23"/>
        </w:rPr>
        <w:t>How JSONB</w:t>
      </w:r>
      <w:r>
        <w:rPr>
          <w:b/>
          <w:bCs/>
          <w:color w:val="0F2044"/>
          <w:sz w:val="23"/>
          <w:szCs w:val="23"/>
        </w:rPr>
        <w:t xml:space="preserve"> Stores Sparse Data</w:t>
      </w:r>
    </w:p>
    <w:p w:rsidR="00865D60" w:rsidRDefault="00BE3102">
      <w:pPr>
        <w:spacing w:before="80" w:after="80"/>
      </w:pPr>
      <w:r>
        <w:t>JSONB does not store null placeholders for missing fields. Each row stores only the keys that were inserted. This is identical behaviour to MongoDB’s document model — a document for Client A does not carry empty slots for Client B’s fie</w:t>
      </w:r>
      <w:r>
        <w:t>lds, and vice versa. There is no storage penalty for field asymmetry between clients.</w:t>
      </w:r>
    </w:p>
    <w:tbl>
      <w:tblPr>
        <w:tblW w:w="9360" w:type="dxa"/>
        <w:tblBorders>
          <w:top w:val="single" w:sz="1" w:space="0" w:color="334155"/>
          <w:left w:val="single" w:sz="1" w:space="0" w:color="334155"/>
          <w:bottom w:val="single" w:sz="1" w:space="0" w:color="334155"/>
          <w:right w:val="single" w:sz="1" w:space="0" w:color="334155"/>
          <w:insideH w:val="single" w:sz="1" w:space="0" w:color="334155"/>
          <w:insideV w:val="single" w:sz="1" w:space="0" w:color="334155"/>
        </w:tblBorders>
        <w:tblCellMar>
          <w:left w:w="10" w:type="dxa"/>
          <w:right w:w="10" w:type="dxa"/>
        </w:tblCellMar>
        <w:tblLook w:val="0000" w:firstRow="0" w:lastRow="0" w:firstColumn="0" w:lastColumn="0" w:noHBand="0" w:noVBand="0"/>
      </w:tblPr>
      <w:tblGrid>
        <w:gridCol w:w="9360"/>
      </w:tblGrid>
      <w:tr w:rsidR="00865D60">
        <w:tblPrEx>
          <w:tblCellMar>
            <w:top w:w="0" w:type="dxa"/>
            <w:bottom w:w="0" w:type="dxa"/>
          </w:tblCellMar>
        </w:tblPrEx>
        <w:tc>
          <w:tcPr>
            <w:tcW w:w="9360" w:type="dxa"/>
            <w:shd w:val="clear" w:color="auto" w:fill="0F172A"/>
            <w:tcMar>
              <w:top w:w="140" w:type="dxa"/>
              <w:left w:w="200" w:type="dxa"/>
              <w:bottom w:w="140" w:type="dxa"/>
              <w:right w:w="200" w:type="dxa"/>
            </w:tcMar>
          </w:tcPr>
          <w:p w:rsidR="00865D60" w:rsidRDefault="00BE3102">
            <w:r>
              <w:rPr>
                <w:rFonts w:ascii="Courier New" w:hAnsi="Courier New"/>
                <w:color w:val="7DD3FC"/>
                <w:sz w:val="18"/>
                <w:szCs w:val="18"/>
              </w:rPr>
              <w:t>-- Client A: 12 unique fields, stores only what exists</w:t>
            </w:r>
          </w:p>
          <w:p w:rsidR="00865D60" w:rsidRDefault="00BE3102">
            <w:r>
              <w:rPr>
                <w:rFonts w:ascii="Courier New" w:hAnsi="Courier New"/>
                <w:color w:val="7DD3FC"/>
                <w:sz w:val="18"/>
                <w:szCs w:val="18"/>
              </w:rPr>
              <w:t>raw_payload: {"vibration": 0.2, "torque": 450, "exhaust_temp": 310, ...}</w:t>
            </w:r>
          </w:p>
          <w:p w:rsidR="00865D60" w:rsidRDefault="00BE3102">
            <w:r>
              <w:rPr>
                <w:rFonts w:ascii="Courier New" w:hAnsi="Courier New"/>
                <w:color w:val="86EFAC"/>
                <w:sz w:val="18"/>
                <w:szCs w:val="18"/>
              </w:rPr>
              <w:t>-- No null slots for Client B fields. Stor</w:t>
            </w:r>
            <w:r>
              <w:rPr>
                <w:rFonts w:ascii="Courier New" w:hAnsi="Courier New"/>
                <w:color w:val="86EFAC"/>
                <w:sz w:val="18"/>
                <w:szCs w:val="18"/>
              </w:rPr>
              <w:t>age = exactly what was inserted.</w:t>
            </w:r>
          </w:p>
          <w:p w:rsidR="00865D60" w:rsidRDefault="00BE3102">
            <w:r>
              <w:rPr>
                <w:rFonts w:ascii="Courier New" w:hAnsi="Courier New"/>
                <w:color w:val="7DD3FC"/>
                <w:sz w:val="18"/>
                <w:szCs w:val="18"/>
              </w:rPr>
              <w:t xml:space="preserve"> </w:t>
            </w:r>
          </w:p>
          <w:p w:rsidR="00865D60" w:rsidRDefault="00BE3102">
            <w:r>
              <w:rPr>
                <w:rFonts w:ascii="Courier New" w:hAnsi="Courier New"/>
                <w:color w:val="7DD3FC"/>
                <w:sz w:val="18"/>
                <w:szCs w:val="18"/>
              </w:rPr>
              <w:t>-- Client B: 15 unique fields, equally sparse</w:t>
            </w:r>
          </w:p>
          <w:p w:rsidR="00865D60" w:rsidRDefault="00BE3102">
            <w:r>
              <w:rPr>
                <w:rFonts w:ascii="Courier New" w:hAnsi="Courier New"/>
                <w:color w:val="7DD3FC"/>
                <w:sz w:val="18"/>
                <w:szCs w:val="18"/>
              </w:rPr>
              <w:t>raw_payload: {"load_pct": 78, "cylinder_temp": 340, "turbo_rpm": 22000, ...}</w:t>
            </w:r>
          </w:p>
          <w:p w:rsidR="00865D60" w:rsidRDefault="00BE3102">
            <w:r>
              <w:rPr>
                <w:rFonts w:ascii="Courier New" w:hAnsi="Courier New"/>
                <w:color w:val="86EFAC"/>
                <w:sz w:val="18"/>
                <w:szCs w:val="18"/>
              </w:rPr>
              <w:t>-- MongoDB behaves identically. This is not a JSONB weakness.</w:t>
            </w:r>
          </w:p>
        </w:tc>
      </w:tr>
    </w:tbl>
    <w:p w:rsidR="00865D60" w:rsidRDefault="00865D60"/>
    <w:p w:rsidR="00865D60" w:rsidRDefault="00BE3102">
      <w:pPr>
        <w:spacing w:before="200" w:after="80"/>
      </w:pPr>
      <w:r>
        <w:rPr>
          <w:b/>
          <w:bCs/>
          <w:color w:val="0F2044"/>
          <w:sz w:val="23"/>
          <w:szCs w:val="23"/>
        </w:rPr>
        <w:t>Partial Indexes: Client-Specific Query Performance</w:t>
      </w:r>
    </w:p>
    <w:p w:rsidR="00865D60" w:rsidRDefault="00BE3102">
      <w:pPr>
        <w:spacing w:before="80" w:after="80"/>
      </w:pPr>
      <w:r>
        <w:t>The performance concern is not storage — it is querying. If a dashboard filters on cylinder_temp for Client B, a full table scan across billions of rows would be slow regardless of database. The solution is partial indexes: indexes that cover only one clie</w:t>
      </w:r>
      <w:r>
        <w:t>nt’s rows. These are small, fast, and do not bloat with other clients’ data.</w:t>
      </w:r>
    </w:p>
    <w:tbl>
      <w:tblPr>
        <w:tblW w:w="9360" w:type="dxa"/>
        <w:tblBorders>
          <w:top w:val="single" w:sz="1" w:space="0" w:color="334155"/>
          <w:left w:val="single" w:sz="1" w:space="0" w:color="334155"/>
          <w:bottom w:val="single" w:sz="1" w:space="0" w:color="334155"/>
          <w:right w:val="single" w:sz="1" w:space="0" w:color="334155"/>
          <w:insideH w:val="single" w:sz="1" w:space="0" w:color="334155"/>
          <w:insideV w:val="single" w:sz="1" w:space="0" w:color="334155"/>
        </w:tblBorders>
        <w:tblCellMar>
          <w:left w:w="10" w:type="dxa"/>
          <w:right w:w="10" w:type="dxa"/>
        </w:tblCellMar>
        <w:tblLook w:val="0000" w:firstRow="0" w:lastRow="0" w:firstColumn="0" w:lastColumn="0" w:noHBand="0" w:noVBand="0"/>
      </w:tblPr>
      <w:tblGrid>
        <w:gridCol w:w="9360"/>
      </w:tblGrid>
      <w:tr w:rsidR="00865D60">
        <w:tblPrEx>
          <w:tblCellMar>
            <w:top w:w="0" w:type="dxa"/>
            <w:bottom w:w="0" w:type="dxa"/>
          </w:tblCellMar>
        </w:tblPrEx>
        <w:tc>
          <w:tcPr>
            <w:tcW w:w="9360" w:type="dxa"/>
            <w:shd w:val="clear" w:color="auto" w:fill="0F172A"/>
            <w:tcMar>
              <w:top w:w="140" w:type="dxa"/>
              <w:left w:w="200" w:type="dxa"/>
              <w:bottom w:w="140" w:type="dxa"/>
              <w:right w:w="200" w:type="dxa"/>
            </w:tcMar>
          </w:tcPr>
          <w:p w:rsidR="00865D60" w:rsidRDefault="00BE3102">
            <w:r>
              <w:rPr>
                <w:rFonts w:ascii="Courier New" w:hAnsi="Courier New"/>
                <w:color w:val="86EFAC"/>
                <w:sz w:val="18"/>
                <w:szCs w:val="18"/>
              </w:rPr>
              <w:t>-- 3 universal fields stay as normalized columns (fast for everyone)</w:t>
            </w:r>
          </w:p>
          <w:p w:rsidR="00865D60" w:rsidRDefault="00BE3102">
            <w:r>
              <w:rPr>
                <w:rFonts w:ascii="Courier New" w:hAnsi="Courier New"/>
                <w:color w:val="7DD3FC"/>
                <w:sz w:val="18"/>
                <w:szCs w:val="18"/>
              </w:rPr>
              <w:t>rpm          NUMERIC,   -- column, indexed, common to all</w:t>
            </w:r>
          </w:p>
          <w:p w:rsidR="00865D60" w:rsidRDefault="00BE3102">
            <w:r>
              <w:rPr>
                <w:rFonts w:ascii="Courier New" w:hAnsi="Courier New"/>
                <w:color w:val="7DD3FC"/>
                <w:sz w:val="18"/>
                <w:szCs w:val="18"/>
              </w:rPr>
              <w:t>speed_knots  NUMERIC,   -- column, indexed, common t</w:t>
            </w:r>
            <w:r>
              <w:rPr>
                <w:rFonts w:ascii="Courier New" w:hAnsi="Courier New"/>
                <w:color w:val="7DD3FC"/>
                <w:sz w:val="18"/>
                <w:szCs w:val="18"/>
              </w:rPr>
              <w:t>o all</w:t>
            </w:r>
          </w:p>
          <w:p w:rsidR="00865D60" w:rsidRDefault="00BE3102">
            <w:r>
              <w:rPr>
                <w:rFonts w:ascii="Courier New" w:hAnsi="Courier New"/>
                <w:color w:val="7DD3FC"/>
                <w:sz w:val="18"/>
                <w:szCs w:val="18"/>
              </w:rPr>
              <w:t>fuel_kg_hr   NUMERIC,   -- column, indexed, common to all</w:t>
            </w:r>
          </w:p>
          <w:p w:rsidR="00865D60" w:rsidRDefault="00BE3102">
            <w:r>
              <w:rPr>
                <w:rFonts w:ascii="Courier New" w:hAnsi="Courier New"/>
                <w:color w:val="7DD3FC"/>
                <w:sz w:val="18"/>
                <w:szCs w:val="18"/>
              </w:rPr>
              <w:t>raw_payload  JSONB      -- everything else</w:t>
            </w:r>
          </w:p>
          <w:p w:rsidR="00865D60" w:rsidRDefault="00BE3102">
            <w:r>
              <w:rPr>
                <w:rFonts w:ascii="Courier New" w:hAnsi="Courier New"/>
                <w:color w:val="7DD3FC"/>
                <w:sz w:val="18"/>
                <w:szCs w:val="18"/>
              </w:rPr>
              <w:t xml:space="preserve"> </w:t>
            </w:r>
          </w:p>
          <w:p w:rsidR="00865D60" w:rsidRDefault="00BE3102">
            <w:r>
              <w:rPr>
                <w:rFonts w:ascii="Courier New" w:hAnsi="Courier New"/>
                <w:color w:val="86EFAC"/>
                <w:sz w:val="18"/>
                <w:szCs w:val="18"/>
              </w:rPr>
              <w:t>-- Partial indexes: each covers only one client’s rows</w:t>
            </w:r>
          </w:p>
          <w:p w:rsidR="00865D60" w:rsidRDefault="00BE3102">
            <w:r>
              <w:rPr>
                <w:rFonts w:ascii="Courier New" w:hAnsi="Courier New"/>
                <w:color w:val="86EFAC"/>
                <w:sz w:val="18"/>
                <w:szCs w:val="18"/>
              </w:rPr>
              <w:t>-- Size = fraction of full table. No cross-client bloat.</w:t>
            </w:r>
          </w:p>
          <w:p w:rsidR="00865D60" w:rsidRDefault="00BE3102">
            <w:r>
              <w:rPr>
                <w:rFonts w:ascii="Courier New" w:hAnsi="Courier New"/>
                <w:color w:val="7DD3FC"/>
                <w:sz w:val="18"/>
                <w:szCs w:val="18"/>
              </w:rPr>
              <w:t xml:space="preserve"> </w:t>
            </w:r>
          </w:p>
          <w:p w:rsidR="00865D60" w:rsidRDefault="00BE3102">
            <w:r>
              <w:rPr>
                <w:rFonts w:ascii="Courier New" w:hAnsi="Courier New"/>
                <w:color w:val="FCD34D"/>
                <w:sz w:val="18"/>
                <w:szCs w:val="18"/>
              </w:rPr>
              <w:t>-- Client A partial indexes (cove</w:t>
            </w:r>
            <w:r>
              <w:rPr>
                <w:rFonts w:ascii="Courier New" w:hAnsi="Courier New"/>
                <w:color w:val="FCD34D"/>
                <w:sz w:val="18"/>
                <w:szCs w:val="18"/>
              </w:rPr>
              <w:t>rs only client_id = 1 rows)</w:t>
            </w:r>
          </w:p>
          <w:p w:rsidR="00865D60" w:rsidRDefault="00BE3102">
            <w:r>
              <w:rPr>
                <w:rFonts w:ascii="Courier New" w:hAnsi="Courier New"/>
                <w:color w:val="7DD3FC"/>
                <w:sz w:val="18"/>
                <w:szCs w:val="18"/>
              </w:rPr>
              <w:t>CREATE INDEX idx_vibration_c1 ON unified_data ((raw_payload-&gt;&gt;'vibration')) WHERE client_id = 1;</w:t>
            </w:r>
          </w:p>
          <w:p w:rsidR="00865D60" w:rsidRDefault="00BE3102">
            <w:r>
              <w:rPr>
                <w:rFonts w:ascii="Courier New" w:hAnsi="Courier New"/>
                <w:color w:val="7DD3FC"/>
                <w:sz w:val="18"/>
                <w:szCs w:val="18"/>
              </w:rPr>
              <w:t>CREATE INDEX idx_torque_c1    ON unified_data ((raw_payload-&gt;&gt;'torque'))    WHERE client_id = 1;</w:t>
            </w:r>
          </w:p>
          <w:p w:rsidR="00865D60" w:rsidRDefault="00BE3102">
            <w:r>
              <w:rPr>
                <w:rFonts w:ascii="Courier New" w:hAnsi="Courier New"/>
                <w:color w:val="7DD3FC"/>
                <w:sz w:val="18"/>
                <w:szCs w:val="18"/>
              </w:rPr>
              <w:t xml:space="preserve"> </w:t>
            </w:r>
          </w:p>
          <w:p w:rsidR="00865D60" w:rsidRDefault="00BE3102">
            <w:r>
              <w:rPr>
                <w:rFonts w:ascii="Courier New" w:hAnsi="Courier New"/>
                <w:color w:val="FCD34D"/>
                <w:sz w:val="18"/>
                <w:szCs w:val="18"/>
              </w:rPr>
              <w:t>-- Client B partial indexes (cov</w:t>
            </w:r>
            <w:r>
              <w:rPr>
                <w:rFonts w:ascii="Courier New" w:hAnsi="Courier New"/>
                <w:color w:val="FCD34D"/>
                <w:sz w:val="18"/>
                <w:szCs w:val="18"/>
              </w:rPr>
              <w:t>ers only client_id = 2 rows)</w:t>
            </w:r>
          </w:p>
          <w:p w:rsidR="00865D60" w:rsidRDefault="00BE3102">
            <w:r>
              <w:rPr>
                <w:rFonts w:ascii="Courier New" w:hAnsi="Courier New"/>
                <w:color w:val="7DD3FC"/>
                <w:sz w:val="18"/>
                <w:szCs w:val="18"/>
              </w:rPr>
              <w:t>CREATE INDEX idx_cylinder_temp_c2 ON unified_data ((raw_payload-&gt;&gt;'cylinder_temp')) WHERE client_id = 2;</w:t>
            </w:r>
          </w:p>
          <w:p w:rsidR="00865D60" w:rsidRDefault="00BE3102">
            <w:r>
              <w:rPr>
                <w:rFonts w:ascii="Courier New" w:hAnsi="Courier New"/>
                <w:color w:val="7DD3FC"/>
                <w:sz w:val="18"/>
                <w:szCs w:val="18"/>
              </w:rPr>
              <w:t>CREATE INDEX idx_load_pct_c2      ON unified_data ((raw_payload-&gt;&gt;'load_pct'))      WHERE client_id = 2;</w:t>
            </w:r>
          </w:p>
          <w:p w:rsidR="00865D60" w:rsidRDefault="00BE3102">
            <w:r>
              <w:rPr>
                <w:rFonts w:ascii="Courier New" w:hAnsi="Courier New"/>
                <w:color w:val="7DD3FC"/>
                <w:sz w:val="18"/>
                <w:szCs w:val="18"/>
              </w:rPr>
              <w:t xml:space="preserve"> </w:t>
            </w:r>
          </w:p>
          <w:p w:rsidR="00865D60" w:rsidRDefault="00BE3102">
            <w:r>
              <w:rPr>
                <w:rFonts w:ascii="Courier New" w:hAnsi="Courier New"/>
                <w:color w:val="86EFAC"/>
                <w:sz w:val="18"/>
                <w:szCs w:val="18"/>
              </w:rPr>
              <w:t>-- MongoDB equi</w:t>
            </w:r>
            <w:r>
              <w:rPr>
                <w:rFonts w:ascii="Courier New" w:hAnsi="Courier New"/>
                <w:color w:val="86EFAC"/>
                <w:sz w:val="18"/>
                <w:szCs w:val="18"/>
              </w:rPr>
              <w:t>valent partial index (identical concept, different syntax)</w:t>
            </w:r>
          </w:p>
          <w:p w:rsidR="00865D60" w:rsidRDefault="00BE3102">
            <w:r>
              <w:rPr>
                <w:rFonts w:ascii="Courier New" w:hAnsi="Courier New"/>
                <w:color w:val="7DD3FC"/>
                <w:sz w:val="18"/>
                <w:szCs w:val="18"/>
              </w:rPr>
              <w:t>db.telemetry.createIndex({ cylinder_temp: 1 }, { partialFilterExpression: { client_id: 2 } })</w:t>
            </w:r>
          </w:p>
          <w:p w:rsidR="00865D60" w:rsidRDefault="00BE3102">
            <w:r>
              <w:rPr>
                <w:rFonts w:ascii="Courier New" w:hAnsi="Courier New"/>
                <w:color w:val="86EFAC"/>
                <w:sz w:val="18"/>
                <w:szCs w:val="18"/>
              </w:rPr>
              <w:t>-- Identical outcome. Same index size. Same query speed.</w:t>
            </w:r>
          </w:p>
        </w:tc>
      </w:tr>
    </w:tbl>
    <w:p w:rsidR="00865D60" w:rsidRDefault="00865D60"/>
    <w:p w:rsidR="00865D60" w:rsidRDefault="00BE3102">
      <w:pPr>
        <w:spacing w:before="200" w:after="80"/>
      </w:pPr>
      <w:r>
        <w:rPr>
          <w:b/>
          <w:bCs/>
          <w:color w:val="0F2044"/>
          <w:sz w:val="23"/>
          <w:szCs w:val="23"/>
        </w:rPr>
        <w:t>Neutral Comparison: JSONB vs MongoDB for Sparse Multi-Client Fields</w:t>
      </w:r>
    </w:p>
    <w:tbl>
      <w:tblPr>
        <w:tblW w:w="9360" w:type="dxa"/>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CellMar>
          <w:left w:w="10" w:type="dxa"/>
          <w:right w:w="10" w:type="dxa"/>
        </w:tblCellMar>
        <w:tblLook w:val="0000" w:firstRow="0" w:lastRow="0" w:firstColumn="0" w:lastColumn="0" w:noHBand="0" w:noVBand="0"/>
      </w:tblPr>
      <w:tblGrid>
        <w:gridCol w:w="2773"/>
        <w:gridCol w:w="2185"/>
        <w:gridCol w:w="2259"/>
        <w:gridCol w:w="2143"/>
      </w:tblGrid>
      <w:tr w:rsidR="00865D60">
        <w:tblPrEx>
          <w:tblCellMar>
            <w:top w:w="0" w:type="dxa"/>
            <w:bottom w:w="0" w:type="dxa"/>
          </w:tblCellMar>
        </w:tblPrEx>
        <w:trPr>
          <w:tblHeader/>
        </w:trPr>
        <w:tc>
          <w:tcPr>
            <w:tcW w:w="2800" w:type="dxa"/>
            <w:shd w:val="clear" w:color="auto" w:fill="0F2044"/>
            <w:tcMar>
              <w:top w:w="100" w:type="dxa"/>
              <w:left w:w="140" w:type="dxa"/>
              <w:bottom w:w="100" w:type="dxa"/>
              <w:right w:w="140" w:type="dxa"/>
            </w:tcMar>
          </w:tcPr>
          <w:p w:rsidR="00865D60" w:rsidRDefault="00BE3102">
            <w:r>
              <w:rPr>
                <w:b/>
                <w:color w:val="FFFFFF"/>
                <w:sz w:val="20"/>
                <w:szCs w:val="20"/>
              </w:rPr>
              <w:t>Factor</w:t>
            </w:r>
          </w:p>
        </w:tc>
        <w:tc>
          <w:tcPr>
            <w:tcW w:w="2200" w:type="dxa"/>
            <w:shd w:val="clear" w:color="auto" w:fill="0F2044"/>
            <w:tcMar>
              <w:top w:w="100" w:type="dxa"/>
              <w:left w:w="140" w:type="dxa"/>
              <w:bottom w:w="100" w:type="dxa"/>
              <w:right w:w="140" w:type="dxa"/>
            </w:tcMar>
          </w:tcPr>
          <w:p w:rsidR="00865D60" w:rsidRDefault="00BE3102">
            <w:r>
              <w:rPr>
                <w:b/>
                <w:color w:val="FFFFFF"/>
                <w:sz w:val="20"/>
                <w:szCs w:val="20"/>
              </w:rPr>
              <w:t>JSONB (Postgres)</w:t>
            </w:r>
          </w:p>
        </w:tc>
        <w:tc>
          <w:tcPr>
            <w:tcW w:w="2200" w:type="dxa"/>
            <w:shd w:val="clear" w:color="auto" w:fill="0F2044"/>
            <w:tcMar>
              <w:top w:w="100" w:type="dxa"/>
              <w:left w:w="140" w:type="dxa"/>
              <w:bottom w:w="100" w:type="dxa"/>
              <w:right w:w="140" w:type="dxa"/>
            </w:tcMar>
          </w:tcPr>
          <w:p w:rsidR="00865D60" w:rsidRDefault="00BE3102">
            <w:r>
              <w:rPr>
                <w:b/>
                <w:color w:val="FFFFFF"/>
                <w:sz w:val="20"/>
                <w:szCs w:val="20"/>
              </w:rPr>
              <w:t>MongoDB</w:t>
            </w:r>
          </w:p>
        </w:tc>
        <w:tc>
          <w:tcPr>
            <w:tcW w:w="2160" w:type="dxa"/>
            <w:shd w:val="clear" w:color="auto" w:fill="0F2044"/>
            <w:tcMar>
              <w:top w:w="100" w:type="dxa"/>
              <w:left w:w="140" w:type="dxa"/>
              <w:bottom w:w="100" w:type="dxa"/>
              <w:right w:w="140" w:type="dxa"/>
            </w:tcMar>
          </w:tcPr>
          <w:p w:rsidR="00865D60" w:rsidRDefault="00BE3102">
            <w:r>
              <w:rPr>
                <w:b/>
                <w:color w:val="FFFFFF"/>
                <w:sz w:val="20"/>
                <w:szCs w:val="20"/>
              </w:rPr>
              <w:t>Verdict</w:t>
            </w:r>
          </w:p>
        </w:tc>
      </w:tr>
      <w:tr w:rsidR="00865D60">
        <w:tblPrEx>
          <w:tblCellMar>
            <w:top w:w="0" w:type="dxa"/>
            <w:bottom w:w="0" w:type="dxa"/>
          </w:tblCellMar>
        </w:tblPrEx>
        <w:tc>
          <w:tcPr>
            <w:tcW w:w="2800" w:type="dxa"/>
            <w:shd w:val="clear" w:color="auto" w:fill="FFFFFF"/>
            <w:tcMar>
              <w:top w:w="100" w:type="dxa"/>
              <w:left w:w="140" w:type="dxa"/>
              <w:bottom w:w="100" w:type="dxa"/>
              <w:right w:w="140" w:type="dxa"/>
            </w:tcMar>
          </w:tcPr>
          <w:p w:rsidR="00865D60" w:rsidRDefault="00BE3102">
            <w:r>
              <w:rPr>
                <w:sz w:val="20"/>
                <w:szCs w:val="20"/>
              </w:rPr>
              <w:t>Sparse field storage</w:t>
            </w:r>
          </w:p>
        </w:tc>
        <w:tc>
          <w:tcPr>
            <w:tcW w:w="2200" w:type="dxa"/>
            <w:shd w:val="clear" w:color="auto" w:fill="FFFFFF"/>
            <w:tcMar>
              <w:top w:w="100" w:type="dxa"/>
              <w:left w:w="140" w:type="dxa"/>
              <w:bottom w:w="100" w:type="dxa"/>
              <w:right w:w="140" w:type="dxa"/>
            </w:tcMar>
          </w:tcPr>
          <w:p w:rsidR="00865D60" w:rsidRDefault="00BE3102">
            <w:r>
              <w:rPr>
                <w:sz w:val="20"/>
                <w:szCs w:val="20"/>
              </w:rPr>
              <w:t>Stores only inserted keys</w:t>
            </w:r>
          </w:p>
        </w:tc>
        <w:tc>
          <w:tcPr>
            <w:tcW w:w="2200" w:type="dxa"/>
            <w:shd w:val="clear" w:color="auto" w:fill="FFFFFF"/>
            <w:tcMar>
              <w:top w:w="100" w:type="dxa"/>
              <w:left w:w="140" w:type="dxa"/>
              <w:bottom w:w="100" w:type="dxa"/>
              <w:right w:w="140" w:type="dxa"/>
            </w:tcMar>
          </w:tcPr>
          <w:p w:rsidR="00865D60" w:rsidRDefault="00BE3102">
            <w:r>
              <w:rPr>
                <w:sz w:val="20"/>
                <w:szCs w:val="20"/>
              </w:rPr>
              <w:t>Stores only inserted keys</w:t>
            </w:r>
          </w:p>
        </w:tc>
        <w:tc>
          <w:tcPr>
            <w:tcW w:w="2160" w:type="dxa"/>
            <w:shd w:val="clear" w:color="auto" w:fill="FFFFFF"/>
            <w:tcMar>
              <w:top w:w="100" w:type="dxa"/>
              <w:left w:w="140" w:type="dxa"/>
              <w:bottom w:w="100" w:type="dxa"/>
              <w:right w:w="140" w:type="dxa"/>
            </w:tcMar>
          </w:tcPr>
          <w:p w:rsidR="00865D60" w:rsidRDefault="00BE3102">
            <w:r>
              <w:rPr>
                <w:sz w:val="20"/>
                <w:szCs w:val="20"/>
              </w:rPr>
              <w:t>Tie — identical</w:t>
            </w:r>
          </w:p>
        </w:tc>
      </w:tr>
      <w:tr w:rsidR="00865D60">
        <w:tblPrEx>
          <w:tblCellMar>
            <w:top w:w="0" w:type="dxa"/>
            <w:bottom w:w="0" w:type="dxa"/>
          </w:tblCellMar>
        </w:tblPrEx>
        <w:tc>
          <w:tcPr>
            <w:tcW w:w="2800" w:type="dxa"/>
            <w:shd w:val="clear" w:color="auto" w:fill="F8FAFC"/>
            <w:tcMar>
              <w:top w:w="100" w:type="dxa"/>
              <w:left w:w="140" w:type="dxa"/>
              <w:bottom w:w="100" w:type="dxa"/>
              <w:right w:w="140" w:type="dxa"/>
            </w:tcMar>
          </w:tcPr>
          <w:p w:rsidR="00865D60" w:rsidRDefault="00BE3102">
            <w:r>
              <w:rPr>
                <w:sz w:val="20"/>
                <w:szCs w:val="20"/>
              </w:rPr>
              <w:t>Partial indexes per client</w:t>
            </w:r>
          </w:p>
        </w:tc>
        <w:tc>
          <w:tcPr>
            <w:tcW w:w="2200" w:type="dxa"/>
            <w:shd w:val="clear" w:color="auto" w:fill="F8FAFC"/>
            <w:tcMar>
              <w:top w:w="100" w:type="dxa"/>
              <w:left w:w="140" w:type="dxa"/>
              <w:bottom w:w="100" w:type="dxa"/>
              <w:right w:w="140" w:type="dxa"/>
            </w:tcMar>
          </w:tcPr>
          <w:p w:rsidR="00865D60" w:rsidRDefault="00BE3102">
            <w:r>
              <w:rPr>
                <w:sz w:val="20"/>
                <w:szCs w:val="20"/>
              </w:rPr>
              <w:t>Native, WHERE clause</w:t>
            </w:r>
          </w:p>
        </w:tc>
        <w:tc>
          <w:tcPr>
            <w:tcW w:w="2200" w:type="dxa"/>
            <w:shd w:val="clear" w:color="auto" w:fill="F8FAFC"/>
            <w:tcMar>
              <w:top w:w="100" w:type="dxa"/>
              <w:left w:w="140" w:type="dxa"/>
              <w:bottom w:w="100" w:type="dxa"/>
              <w:right w:w="140" w:type="dxa"/>
            </w:tcMar>
          </w:tcPr>
          <w:p w:rsidR="00865D60" w:rsidRDefault="00BE3102">
            <w:r>
              <w:rPr>
                <w:sz w:val="20"/>
                <w:szCs w:val="20"/>
              </w:rPr>
              <w:t xml:space="preserve">Native, </w:t>
            </w:r>
            <w:r>
              <w:rPr>
                <w:sz w:val="20"/>
                <w:szCs w:val="20"/>
              </w:rPr>
              <w:t>partialFilterExpression</w:t>
            </w:r>
          </w:p>
        </w:tc>
        <w:tc>
          <w:tcPr>
            <w:tcW w:w="2160" w:type="dxa"/>
            <w:shd w:val="clear" w:color="auto" w:fill="F8FAFC"/>
            <w:tcMar>
              <w:top w:w="100" w:type="dxa"/>
              <w:left w:w="140" w:type="dxa"/>
              <w:bottom w:w="100" w:type="dxa"/>
              <w:right w:w="140" w:type="dxa"/>
            </w:tcMar>
          </w:tcPr>
          <w:p w:rsidR="00865D60" w:rsidRDefault="00BE3102">
            <w:r>
              <w:rPr>
                <w:sz w:val="20"/>
                <w:szCs w:val="20"/>
              </w:rPr>
              <w:t>Tie — identical</w:t>
            </w:r>
          </w:p>
        </w:tc>
      </w:tr>
      <w:tr w:rsidR="00865D60">
        <w:tblPrEx>
          <w:tblCellMar>
            <w:top w:w="0" w:type="dxa"/>
            <w:bottom w:w="0" w:type="dxa"/>
          </w:tblCellMar>
        </w:tblPrEx>
        <w:tc>
          <w:tcPr>
            <w:tcW w:w="2800" w:type="dxa"/>
            <w:shd w:val="clear" w:color="auto" w:fill="FFFFFF"/>
            <w:tcMar>
              <w:top w:w="100" w:type="dxa"/>
              <w:left w:w="140" w:type="dxa"/>
              <w:bottom w:w="100" w:type="dxa"/>
              <w:right w:w="140" w:type="dxa"/>
            </w:tcMar>
          </w:tcPr>
          <w:p w:rsidR="00865D60" w:rsidRDefault="00BE3102">
            <w:r>
              <w:rPr>
                <w:sz w:val="20"/>
                <w:szCs w:val="20"/>
              </w:rPr>
              <w:t>Query speed (with index)</w:t>
            </w:r>
          </w:p>
        </w:tc>
        <w:tc>
          <w:tcPr>
            <w:tcW w:w="2200" w:type="dxa"/>
            <w:shd w:val="clear" w:color="auto" w:fill="FFFFFF"/>
            <w:tcMar>
              <w:top w:w="100" w:type="dxa"/>
              <w:left w:w="140" w:type="dxa"/>
              <w:bottom w:w="100" w:type="dxa"/>
              <w:right w:w="140" w:type="dxa"/>
            </w:tcMar>
          </w:tcPr>
          <w:p w:rsidR="00865D60" w:rsidRDefault="00BE3102">
            <w:r>
              <w:rPr>
                <w:sz w:val="20"/>
                <w:szCs w:val="20"/>
              </w:rPr>
              <w:t>Sub-millisecond</w:t>
            </w:r>
          </w:p>
        </w:tc>
        <w:tc>
          <w:tcPr>
            <w:tcW w:w="2200" w:type="dxa"/>
            <w:shd w:val="clear" w:color="auto" w:fill="FFFFFF"/>
            <w:tcMar>
              <w:top w:w="100" w:type="dxa"/>
              <w:left w:w="140" w:type="dxa"/>
              <w:bottom w:w="100" w:type="dxa"/>
              <w:right w:w="140" w:type="dxa"/>
            </w:tcMar>
          </w:tcPr>
          <w:p w:rsidR="00865D60" w:rsidRDefault="00BE3102">
            <w:r>
              <w:rPr>
                <w:sz w:val="20"/>
                <w:szCs w:val="20"/>
              </w:rPr>
              <w:t>Sub-millisecond</w:t>
            </w:r>
          </w:p>
        </w:tc>
        <w:tc>
          <w:tcPr>
            <w:tcW w:w="2160" w:type="dxa"/>
            <w:shd w:val="clear" w:color="auto" w:fill="FFFFFF"/>
            <w:tcMar>
              <w:top w:w="100" w:type="dxa"/>
              <w:left w:w="140" w:type="dxa"/>
              <w:bottom w:w="100" w:type="dxa"/>
              <w:right w:w="140" w:type="dxa"/>
            </w:tcMar>
          </w:tcPr>
          <w:p w:rsidR="00865D60" w:rsidRDefault="00BE3102">
            <w:r>
              <w:rPr>
                <w:sz w:val="20"/>
                <w:szCs w:val="20"/>
              </w:rPr>
              <w:t>Tie — identical</w:t>
            </w:r>
          </w:p>
        </w:tc>
      </w:tr>
      <w:tr w:rsidR="00865D60">
        <w:tblPrEx>
          <w:tblCellMar>
            <w:top w:w="0" w:type="dxa"/>
            <w:bottom w:w="0" w:type="dxa"/>
          </w:tblCellMar>
        </w:tblPrEx>
        <w:tc>
          <w:tcPr>
            <w:tcW w:w="2800" w:type="dxa"/>
            <w:shd w:val="clear" w:color="auto" w:fill="F8FAFC"/>
            <w:tcMar>
              <w:top w:w="100" w:type="dxa"/>
              <w:left w:w="140" w:type="dxa"/>
              <w:bottom w:w="100" w:type="dxa"/>
              <w:right w:w="140" w:type="dxa"/>
            </w:tcMar>
          </w:tcPr>
          <w:p w:rsidR="00865D60" w:rsidRDefault="00BE3102">
            <w:r>
              <w:rPr>
                <w:sz w:val="20"/>
                <w:szCs w:val="20"/>
              </w:rPr>
              <w:t>Query speed (no index)</w:t>
            </w:r>
          </w:p>
        </w:tc>
        <w:tc>
          <w:tcPr>
            <w:tcW w:w="2200" w:type="dxa"/>
            <w:shd w:val="clear" w:color="auto" w:fill="F8FAFC"/>
            <w:tcMar>
              <w:top w:w="100" w:type="dxa"/>
              <w:left w:w="140" w:type="dxa"/>
              <w:bottom w:w="100" w:type="dxa"/>
              <w:right w:w="140" w:type="dxa"/>
            </w:tcMar>
          </w:tcPr>
          <w:p w:rsidR="00865D60" w:rsidRDefault="00BE3102">
            <w:r>
              <w:rPr>
                <w:sz w:val="20"/>
                <w:szCs w:val="20"/>
              </w:rPr>
              <w:t>Slow (full table scan)</w:t>
            </w:r>
          </w:p>
        </w:tc>
        <w:tc>
          <w:tcPr>
            <w:tcW w:w="2200" w:type="dxa"/>
            <w:shd w:val="clear" w:color="auto" w:fill="F8FAFC"/>
            <w:tcMar>
              <w:top w:w="100" w:type="dxa"/>
              <w:left w:w="140" w:type="dxa"/>
              <w:bottom w:w="100" w:type="dxa"/>
              <w:right w:w="140" w:type="dxa"/>
            </w:tcMar>
          </w:tcPr>
          <w:p w:rsidR="00865D60" w:rsidRDefault="00BE3102">
            <w:r>
              <w:rPr>
                <w:sz w:val="20"/>
                <w:szCs w:val="20"/>
              </w:rPr>
              <w:t>Slow (collection scan)</w:t>
            </w:r>
          </w:p>
        </w:tc>
        <w:tc>
          <w:tcPr>
            <w:tcW w:w="2160" w:type="dxa"/>
            <w:shd w:val="clear" w:color="auto" w:fill="F8FAFC"/>
            <w:tcMar>
              <w:top w:w="100" w:type="dxa"/>
              <w:left w:w="140" w:type="dxa"/>
              <w:bottom w:w="100" w:type="dxa"/>
              <w:right w:w="140" w:type="dxa"/>
            </w:tcMar>
          </w:tcPr>
          <w:p w:rsidR="00865D60" w:rsidRDefault="00BE3102">
            <w:r>
              <w:rPr>
                <w:sz w:val="20"/>
                <w:szCs w:val="20"/>
              </w:rPr>
              <w:t>Tie — both slow</w:t>
            </w:r>
          </w:p>
        </w:tc>
      </w:tr>
      <w:tr w:rsidR="00865D60">
        <w:tblPrEx>
          <w:tblCellMar>
            <w:top w:w="0" w:type="dxa"/>
            <w:bottom w:w="0" w:type="dxa"/>
          </w:tblCellMar>
        </w:tblPrEx>
        <w:tc>
          <w:tcPr>
            <w:tcW w:w="2800" w:type="dxa"/>
            <w:shd w:val="clear" w:color="auto" w:fill="FFFFFF"/>
            <w:tcMar>
              <w:top w:w="100" w:type="dxa"/>
              <w:left w:w="140" w:type="dxa"/>
              <w:bottom w:w="100" w:type="dxa"/>
              <w:right w:w="140" w:type="dxa"/>
            </w:tcMar>
          </w:tcPr>
          <w:p w:rsidR="00865D60" w:rsidRDefault="00BE3102">
            <w:r>
              <w:rPr>
                <w:sz w:val="20"/>
                <w:szCs w:val="20"/>
              </w:rPr>
              <w:t>Missing field handling</w:t>
            </w:r>
          </w:p>
        </w:tc>
        <w:tc>
          <w:tcPr>
            <w:tcW w:w="2200" w:type="dxa"/>
            <w:shd w:val="clear" w:color="auto" w:fill="FFFFFF"/>
            <w:tcMar>
              <w:top w:w="100" w:type="dxa"/>
              <w:left w:w="140" w:type="dxa"/>
              <w:bottom w:w="100" w:type="dxa"/>
              <w:right w:w="140" w:type="dxa"/>
            </w:tcMar>
          </w:tcPr>
          <w:p w:rsidR="00865D60" w:rsidRDefault="00BE3102">
            <w:r>
              <w:rPr>
                <w:sz w:val="20"/>
                <w:szCs w:val="20"/>
              </w:rPr>
              <w:t xml:space="preserve">Returns NULL — requires </w:t>
            </w:r>
            <w:r>
              <w:rPr>
                <w:sz w:val="20"/>
                <w:szCs w:val="20"/>
              </w:rPr>
              <w:t>awareness in queries</w:t>
            </w:r>
          </w:p>
        </w:tc>
        <w:tc>
          <w:tcPr>
            <w:tcW w:w="2200" w:type="dxa"/>
            <w:shd w:val="clear" w:color="auto" w:fill="FFFFFF"/>
            <w:tcMar>
              <w:top w:w="100" w:type="dxa"/>
              <w:left w:w="140" w:type="dxa"/>
              <w:bottom w:w="100" w:type="dxa"/>
              <w:right w:w="140" w:type="dxa"/>
            </w:tcMar>
          </w:tcPr>
          <w:p w:rsidR="00865D60" w:rsidRDefault="00BE3102">
            <w:r>
              <w:rPr>
                <w:sz w:val="20"/>
                <w:szCs w:val="20"/>
              </w:rPr>
              <w:t>Returns nothing — natural behaviour</w:t>
            </w:r>
          </w:p>
        </w:tc>
        <w:tc>
          <w:tcPr>
            <w:tcW w:w="2160" w:type="dxa"/>
            <w:shd w:val="clear" w:color="auto" w:fill="FFFFFF"/>
            <w:tcMar>
              <w:top w:w="100" w:type="dxa"/>
              <w:left w:w="140" w:type="dxa"/>
              <w:bottom w:w="100" w:type="dxa"/>
              <w:right w:w="140" w:type="dxa"/>
            </w:tcMar>
          </w:tcPr>
          <w:p w:rsidR="00865D60" w:rsidRDefault="00BE3102">
            <w:r>
              <w:rPr>
                <w:sz w:val="20"/>
                <w:szCs w:val="20"/>
              </w:rPr>
              <w:t>MongoDB — more ergonomic</w:t>
            </w:r>
          </w:p>
        </w:tc>
      </w:tr>
      <w:tr w:rsidR="00865D60">
        <w:tblPrEx>
          <w:tblCellMar>
            <w:top w:w="0" w:type="dxa"/>
            <w:bottom w:w="0" w:type="dxa"/>
          </w:tblCellMar>
        </w:tblPrEx>
        <w:tc>
          <w:tcPr>
            <w:tcW w:w="2800" w:type="dxa"/>
            <w:shd w:val="clear" w:color="auto" w:fill="F8FAFC"/>
            <w:tcMar>
              <w:top w:w="100" w:type="dxa"/>
              <w:left w:w="140" w:type="dxa"/>
              <w:bottom w:w="100" w:type="dxa"/>
              <w:right w:w="140" w:type="dxa"/>
            </w:tcMar>
          </w:tcPr>
          <w:p w:rsidR="00865D60" w:rsidRDefault="00BE3102">
            <w:r>
              <w:rPr>
                <w:sz w:val="20"/>
                <w:szCs w:val="20"/>
              </w:rPr>
              <w:t>Deeply nested JSON (5+ levels)</w:t>
            </w:r>
          </w:p>
        </w:tc>
        <w:tc>
          <w:tcPr>
            <w:tcW w:w="2200" w:type="dxa"/>
            <w:shd w:val="clear" w:color="auto" w:fill="F8FAFC"/>
            <w:tcMar>
              <w:top w:w="100" w:type="dxa"/>
              <w:left w:w="140" w:type="dxa"/>
              <w:bottom w:w="100" w:type="dxa"/>
              <w:right w:w="140" w:type="dxa"/>
            </w:tcMar>
          </w:tcPr>
          <w:p w:rsidR="00865D60" w:rsidRDefault="00BE3102">
            <w:r>
              <w:rPr>
                <w:sz w:val="20"/>
                <w:szCs w:val="20"/>
              </w:rPr>
              <w:t>Slower — verbose path syntax</w:t>
            </w:r>
          </w:p>
        </w:tc>
        <w:tc>
          <w:tcPr>
            <w:tcW w:w="2200" w:type="dxa"/>
            <w:shd w:val="clear" w:color="auto" w:fill="F8FAFC"/>
            <w:tcMar>
              <w:top w:w="100" w:type="dxa"/>
              <w:left w:w="140" w:type="dxa"/>
              <w:bottom w:w="100" w:type="dxa"/>
              <w:right w:w="140" w:type="dxa"/>
            </w:tcMar>
          </w:tcPr>
          <w:p w:rsidR="00865D60" w:rsidRDefault="00BE3102">
            <w:r>
              <w:rPr>
                <w:sz w:val="20"/>
                <w:szCs w:val="20"/>
              </w:rPr>
              <w:t>Faster — native document model</w:t>
            </w:r>
          </w:p>
        </w:tc>
        <w:tc>
          <w:tcPr>
            <w:tcW w:w="2160" w:type="dxa"/>
            <w:shd w:val="clear" w:color="auto" w:fill="F8FAFC"/>
            <w:tcMar>
              <w:top w:w="100" w:type="dxa"/>
              <w:left w:w="140" w:type="dxa"/>
              <w:bottom w:w="100" w:type="dxa"/>
              <w:right w:w="140" w:type="dxa"/>
            </w:tcMar>
          </w:tcPr>
          <w:p w:rsidR="00865D60" w:rsidRDefault="00BE3102">
            <w:r>
              <w:rPr>
                <w:sz w:val="20"/>
                <w:szCs w:val="20"/>
              </w:rPr>
              <w:t>MongoDB — wins</w:t>
            </w:r>
          </w:p>
        </w:tc>
      </w:tr>
      <w:tr w:rsidR="00865D60">
        <w:tblPrEx>
          <w:tblCellMar>
            <w:top w:w="0" w:type="dxa"/>
            <w:bottom w:w="0" w:type="dxa"/>
          </w:tblCellMar>
        </w:tblPrEx>
        <w:tc>
          <w:tcPr>
            <w:tcW w:w="2800" w:type="dxa"/>
            <w:shd w:val="clear" w:color="auto" w:fill="FFFFFF"/>
            <w:tcMar>
              <w:top w:w="100" w:type="dxa"/>
              <w:left w:w="140" w:type="dxa"/>
              <w:bottom w:w="100" w:type="dxa"/>
              <w:right w:w="140" w:type="dxa"/>
            </w:tcMar>
          </w:tcPr>
          <w:p w:rsidR="00865D60" w:rsidRDefault="00BE3102">
            <w:r>
              <w:rPr>
                <w:sz w:val="20"/>
                <w:szCs w:val="20"/>
              </w:rPr>
              <w:t>JSON field + relational JOIN</w:t>
            </w:r>
          </w:p>
        </w:tc>
        <w:tc>
          <w:tcPr>
            <w:tcW w:w="2200" w:type="dxa"/>
            <w:shd w:val="clear" w:color="auto" w:fill="FFFFFF"/>
            <w:tcMar>
              <w:top w:w="100" w:type="dxa"/>
              <w:left w:w="140" w:type="dxa"/>
              <w:bottom w:w="100" w:type="dxa"/>
              <w:right w:w="140" w:type="dxa"/>
            </w:tcMar>
          </w:tcPr>
          <w:p w:rsidR="00865D60" w:rsidRDefault="00BE3102">
            <w:r>
              <w:rPr>
                <w:sz w:val="20"/>
                <w:szCs w:val="20"/>
              </w:rPr>
              <w:t>Fast — native SQL JOIN</w:t>
            </w:r>
          </w:p>
        </w:tc>
        <w:tc>
          <w:tcPr>
            <w:tcW w:w="2200" w:type="dxa"/>
            <w:shd w:val="clear" w:color="auto" w:fill="FFFFFF"/>
            <w:tcMar>
              <w:top w:w="100" w:type="dxa"/>
              <w:left w:w="140" w:type="dxa"/>
              <w:bottom w:w="100" w:type="dxa"/>
              <w:right w:w="140" w:type="dxa"/>
            </w:tcMar>
          </w:tcPr>
          <w:p w:rsidR="00865D60" w:rsidRDefault="00BE3102">
            <w:r>
              <w:rPr>
                <w:sz w:val="20"/>
                <w:szCs w:val="20"/>
              </w:rPr>
              <w:t xml:space="preserve">Slow — manual </w:t>
            </w:r>
            <w:r>
              <w:rPr>
                <w:sz w:val="20"/>
                <w:szCs w:val="20"/>
              </w:rPr>
              <w:t>application-level lookup</w:t>
            </w:r>
          </w:p>
        </w:tc>
        <w:tc>
          <w:tcPr>
            <w:tcW w:w="2160" w:type="dxa"/>
            <w:shd w:val="clear" w:color="auto" w:fill="FFFFFF"/>
            <w:tcMar>
              <w:top w:w="100" w:type="dxa"/>
              <w:left w:w="140" w:type="dxa"/>
              <w:bottom w:w="100" w:type="dxa"/>
              <w:right w:w="140" w:type="dxa"/>
            </w:tcMar>
          </w:tcPr>
          <w:p w:rsidR="00865D60" w:rsidRDefault="00BE3102">
            <w:r>
              <w:rPr>
                <w:sz w:val="20"/>
                <w:szCs w:val="20"/>
              </w:rPr>
              <w:t>JSONB — wins</w:t>
            </w:r>
          </w:p>
        </w:tc>
      </w:tr>
      <w:tr w:rsidR="00865D60">
        <w:tblPrEx>
          <w:tblCellMar>
            <w:top w:w="0" w:type="dxa"/>
            <w:bottom w:w="0" w:type="dxa"/>
          </w:tblCellMar>
        </w:tblPrEx>
        <w:tc>
          <w:tcPr>
            <w:tcW w:w="2800" w:type="dxa"/>
            <w:shd w:val="clear" w:color="auto" w:fill="F8FAFC"/>
            <w:tcMar>
              <w:top w:w="100" w:type="dxa"/>
              <w:left w:w="140" w:type="dxa"/>
              <w:bottom w:w="100" w:type="dxa"/>
              <w:right w:w="140" w:type="dxa"/>
            </w:tcMar>
          </w:tcPr>
          <w:p w:rsidR="00865D60" w:rsidRDefault="00BE3102">
            <w:r>
              <w:rPr>
                <w:sz w:val="20"/>
                <w:szCs w:val="20"/>
              </w:rPr>
              <w:t>Time-range + JSON field filter</w:t>
            </w:r>
          </w:p>
        </w:tc>
        <w:tc>
          <w:tcPr>
            <w:tcW w:w="2200" w:type="dxa"/>
            <w:shd w:val="clear" w:color="auto" w:fill="F8FAFC"/>
            <w:tcMar>
              <w:top w:w="100" w:type="dxa"/>
              <w:left w:w="140" w:type="dxa"/>
              <w:bottom w:w="100" w:type="dxa"/>
              <w:right w:w="140" w:type="dxa"/>
            </w:tcMar>
          </w:tcPr>
          <w:p w:rsidR="00865D60" w:rsidRDefault="00BE3102">
            <w:r>
              <w:rPr>
                <w:sz w:val="20"/>
                <w:szCs w:val="20"/>
              </w:rPr>
              <w:t>Fast — TimescaleDB chunk pruning + partial index</w:t>
            </w:r>
          </w:p>
        </w:tc>
        <w:tc>
          <w:tcPr>
            <w:tcW w:w="2200" w:type="dxa"/>
            <w:shd w:val="clear" w:color="auto" w:fill="F8FAFC"/>
            <w:tcMar>
              <w:top w:w="100" w:type="dxa"/>
              <w:left w:w="140" w:type="dxa"/>
              <w:bottom w:w="100" w:type="dxa"/>
              <w:right w:w="140" w:type="dxa"/>
            </w:tcMar>
          </w:tcPr>
          <w:p w:rsidR="00865D60" w:rsidRDefault="00BE3102">
            <w:r>
              <w:rPr>
                <w:sz w:val="20"/>
                <w:szCs w:val="20"/>
              </w:rPr>
              <w:t>Moderate — manual time index + field index</w:t>
            </w:r>
          </w:p>
        </w:tc>
        <w:tc>
          <w:tcPr>
            <w:tcW w:w="2160" w:type="dxa"/>
            <w:shd w:val="clear" w:color="auto" w:fill="F8FAFC"/>
            <w:tcMar>
              <w:top w:w="100" w:type="dxa"/>
              <w:left w:w="140" w:type="dxa"/>
              <w:bottom w:w="100" w:type="dxa"/>
              <w:right w:w="140" w:type="dxa"/>
            </w:tcMar>
          </w:tcPr>
          <w:p w:rsidR="00865D60" w:rsidRDefault="00BE3102">
            <w:r>
              <w:rPr>
                <w:sz w:val="20"/>
                <w:szCs w:val="20"/>
              </w:rPr>
              <w:t>JSONB — wins</w:t>
            </w:r>
          </w:p>
        </w:tc>
      </w:tr>
      <w:tr w:rsidR="00865D60">
        <w:tblPrEx>
          <w:tblCellMar>
            <w:top w:w="0" w:type="dxa"/>
            <w:bottom w:w="0" w:type="dxa"/>
          </w:tblCellMar>
        </w:tblPrEx>
        <w:tc>
          <w:tcPr>
            <w:tcW w:w="2800" w:type="dxa"/>
            <w:shd w:val="clear" w:color="auto" w:fill="FFFFFF"/>
            <w:tcMar>
              <w:top w:w="100" w:type="dxa"/>
              <w:left w:w="140" w:type="dxa"/>
              <w:bottom w:w="100" w:type="dxa"/>
              <w:right w:w="140" w:type="dxa"/>
            </w:tcMar>
          </w:tcPr>
          <w:p w:rsidR="00865D60" w:rsidRDefault="00BE3102">
            <w:r>
              <w:rPr>
                <w:sz w:val="20"/>
                <w:szCs w:val="20"/>
              </w:rPr>
              <w:t>Developer ergonomics for JSON</w:t>
            </w:r>
          </w:p>
        </w:tc>
        <w:tc>
          <w:tcPr>
            <w:tcW w:w="2200" w:type="dxa"/>
            <w:shd w:val="clear" w:color="auto" w:fill="FFFFFF"/>
            <w:tcMar>
              <w:top w:w="100" w:type="dxa"/>
              <w:left w:w="140" w:type="dxa"/>
              <w:bottom w:w="100" w:type="dxa"/>
              <w:right w:w="140" w:type="dxa"/>
            </w:tcMar>
          </w:tcPr>
          <w:p w:rsidR="00865D60" w:rsidRDefault="00BE3102">
            <w:r>
              <w:rPr>
                <w:sz w:val="20"/>
                <w:szCs w:val="20"/>
              </w:rPr>
              <w:t>Verbose — requires -&gt;&gt; syntax</w:t>
            </w:r>
          </w:p>
        </w:tc>
        <w:tc>
          <w:tcPr>
            <w:tcW w:w="2200" w:type="dxa"/>
            <w:shd w:val="clear" w:color="auto" w:fill="FFFFFF"/>
            <w:tcMar>
              <w:top w:w="100" w:type="dxa"/>
              <w:left w:w="140" w:type="dxa"/>
              <w:bottom w:w="100" w:type="dxa"/>
              <w:right w:w="140" w:type="dxa"/>
            </w:tcMar>
          </w:tcPr>
          <w:p w:rsidR="00865D60" w:rsidRDefault="00BE3102">
            <w:r>
              <w:rPr>
                <w:sz w:val="20"/>
                <w:szCs w:val="20"/>
              </w:rPr>
              <w:t xml:space="preserve">Natural — dot </w:t>
            </w:r>
            <w:r>
              <w:rPr>
                <w:sz w:val="20"/>
                <w:szCs w:val="20"/>
              </w:rPr>
              <w:t>notation, intuitive</w:t>
            </w:r>
          </w:p>
        </w:tc>
        <w:tc>
          <w:tcPr>
            <w:tcW w:w="2160" w:type="dxa"/>
            <w:shd w:val="clear" w:color="auto" w:fill="FFFFFF"/>
            <w:tcMar>
              <w:top w:w="100" w:type="dxa"/>
              <w:left w:w="140" w:type="dxa"/>
              <w:bottom w:w="100" w:type="dxa"/>
              <w:right w:w="140" w:type="dxa"/>
            </w:tcMar>
          </w:tcPr>
          <w:p w:rsidR="00865D60" w:rsidRDefault="00BE3102">
            <w:r>
              <w:rPr>
                <w:sz w:val="20"/>
                <w:szCs w:val="20"/>
              </w:rPr>
              <w:t>MongoDB — wins</w:t>
            </w:r>
          </w:p>
        </w:tc>
      </w:tr>
      <w:tr w:rsidR="00865D60">
        <w:tblPrEx>
          <w:tblCellMar>
            <w:top w:w="0" w:type="dxa"/>
            <w:bottom w:w="0" w:type="dxa"/>
          </w:tblCellMar>
        </w:tblPrEx>
        <w:tc>
          <w:tcPr>
            <w:tcW w:w="2800" w:type="dxa"/>
            <w:shd w:val="clear" w:color="auto" w:fill="F8FAFC"/>
            <w:tcMar>
              <w:top w:w="100" w:type="dxa"/>
              <w:left w:w="140" w:type="dxa"/>
              <w:bottom w:w="100" w:type="dxa"/>
              <w:right w:w="140" w:type="dxa"/>
            </w:tcMar>
          </w:tcPr>
          <w:p w:rsidR="00865D60" w:rsidRDefault="00BE3102">
            <w:r>
              <w:rPr>
                <w:sz w:val="20"/>
                <w:szCs w:val="20"/>
              </w:rPr>
              <w:t>Storage compression (historical)</w:t>
            </w:r>
          </w:p>
        </w:tc>
        <w:tc>
          <w:tcPr>
            <w:tcW w:w="2200" w:type="dxa"/>
            <w:shd w:val="clear" w:color="auto" w:fill="F8FAFC"/>
            <w:tcMar>
              <w:top w:w="100" w:type="dxa"/>
              <w:left w:w="140" w:type="dxa"/>
              <w:bottom w:w="100" w:type="dxa"/>
              <w:right w:w="140" w:type="dxa"/>
            </w:tcMar>
          </w:tcPr>
          <w:p w:rsidR="00865D60" w:rsidRDefault="00BE3102">
            <w:r>
              <w:rPr>
                <w:sz w:val="20"/>
                <w:szCs w:val="20"/>
              </w:rPr>
              <w:t>90–95% columnar compression</w:t>
            </w:r>
          </w:p>
        </w:tc>
        <w:tc>
          <w:tcPr>
            <w:tcW w:w="2200" w:type="dxa"/>
            <w:shd w:val="clear" w:color="auto" w:fill="F8FAFC"/>
            <w:tcMar>
              <w:top w:w="100" w:type="dxa"/>
              <w:left w:w="140" w:type="dxa"/>
              <w:bottom w:w="100" w:type="dxa"/>
              <w:right w:w="140" w:type="dxa"/>
            </w:tcMar>
          </w:tcPr>
          <w:p w:rsidR="00865D60" w:rsidRDefault="00BE3102">
            <w:r>
              <w:rPr>
                <w:sz w:val="20"/>
                <w:szCs w:val="20"/>
              </w:rPr>
              <w:t>30–40% compression only</w:t>
            </w:r>
          </w:p>
        </w:tc>
        <w:tc>
          <w:tcPr>
            <w:tcW w:w="2160" w:type="dxa"/>
            <w:shd w:val="clear" w:color="auto" w:fill="F8FAFC"/>
            <w:tcMar>
              <w:top w:w="100" w:type="dxa"/>
              <w:left w:w="140" w:type="dxa"/>
              <w:bottom w:w="100" w:type="dxa"/>
              <w:right w:w="140" w:type="dxa"/>
            </w:tcMar>
          </w:tcPr>
          <w:p w:rsidR="00865D60" w:rsidRDefault="00BE3102">
            <w:r>
              <w:rPr>
                <w:sz w:val="20"/>
                <w:szCs w:val="20"/>
              </w:rPr>
              <w:t>JSONB — wins significantly</w:t>
            </w:r>
          </w:p>
        </w:tc>
      </w:tr>
    </w:tbl>
    <w:p w:rsidR="00865D60" w:rsidRDefault="00865D60"/>
    <w:tbl>
      <w:tblPr>
        <w:tblW w:w="9360" w:type="dxa"/>
        <w:tblBorders>
          <w:top w:val="single" w:sz="1" w:space="0" w:color="0D7490"/>
          <w:left w:val="single" w:sz="1" w:space="0" w:color="0D7490"/>
          <w:bottom w:val="single" w:sz="1" w:space="0" w:color="0D7490"/>
          <w:right w:val="single" w:sz="1" w:space="0" w:color="0D7490"/>
        </w:tblBorders>
        <w:tblCellMar>
          <w:left w:w="10" w:type="dxa"/>
          <w:right w:w="10" w:type="dxa"/>
        </w:tblCellMar>
        <w:tblLook w:val="0000" w:firstRow="0" w:lastRow="0" w:firstColumn="0" w:lastColumn="0" w:noHBand="0" w:noVBand="0"/>
      </w:tblPr>
      <w:tblGrid>
        <w:gridCol w:w="9360"/>
      </w:tblGrid>
      <w:tr w:rsidR="00865D60">
        <w:tblPrEx>
          <w:tblCellMar>
            <w:top w:w="0" w:type="dxa"/>
            <w:bottom w:w="0" w:type="dxa"/>
          </w:tblCellMar>
        </w:tblPrEx>
        <w:tc>
          <w:tcPr>
            <w:tcW w:w="9360" w:type="dxa"/>
            <w:shd w:val="clear" w:color="auto" w:fill="CFFAFE"/>
            <w:tcMar>
              <w:top w:w="140" w:type="dxa"/>
              <w:left w:w="200" w:type="dxa"/>
              <w:bottom w:w="140" w:type="dxa"/>
              <w:right w:w="200" w:type="dxa"/>
            </w:tcMar>
          </w:tcPr>
          <w:p w:rsidR="00865D60" w:rsidRDefault="00BE3102">
            <w:pPr>
              <w:spacing w:after="60"/>
            </w:pPr>
            <w:r>
              <w:rPr>
                <w:b/>
                <w:color w:val="0D7490"/>
                <w:sz w:val="21"/>
                <w:szCs w:val="21"/>
              </w:rPr>
              <w:t>⚖</w:t>
            </w:r>
            <w:r>
              <w:rPr>
                <w:b/>
                <w:color w:val="0D7490"/>
                <w:sz w:val="21"/>
                <w:szCs w:val="21"/>
              </w:rPr>
              <w:t>️</w:t>
            </w:r>
            <w:r>
              <w:rPr>
                <w:b/>
                <w:color w:val="0D7490"/>
                <w:sz w:val="21"/>
                <w:szCs w:val="21"/>
              </w:rPr>
              <w:t xml:space="preserve">  Neutral Assessment: When to Choose Each</w:t>
            </w:r>
          </w:p>
          <w:p w:rsidR="00865D60" w:rsidRDefault="00BE3102">
            <w:pPr>
              <w:spacing w:after="60"/>
            </w:pPr>
            <w:r>
              <w:rPr>
                <w:b/>
                <w:color w:val="0F2044"/>
                <w:sz w:val="20"/>
                <w:szCs w:val="20"/>
              </w:rPr>
              <w:t xml:space="preserve">Choose JSONB (TimescaleDB) if: </w:t>
            </w:r>
            <w:r>
              <w:rPr>
                <w:sz w:val="20"/>
                <w:szCs w:val="20"/>
              </w:rPr>
              <w:t>your primary queries combine time ranges with vessel/client filters, you need to JOIN sensor data with relational master data frequently, storage cost at scale is a major concern, or your team is stronger in SQL than in MongoDB’s aggregation pipeline.</w:t>
            </w:r>
          </w:p>
          <w:p w:rsidR="00865D60" w:rsidRDefault="00BE3102">
            <w:r>
              <w:rPr>
                <w:b/>
                <w:color w:val="0F2044"/>
                <w:sz w:val="20"/>
                <w:szCs w:val="20"/>
              </w:rPr>
              <w:t>Choo</w:t>
            </w:r>
            <w:r>
              <w:rPr>
                <w:b/>
                <w:color w:val="0F2044"/>
                <w:sz w:val="20"/>
                <w:szCs w:val="20"/>
              </w:rPr>
              <w:t xml:space="preserve">se MongoDB if: </w:t>
            </w:r>
            <w:r>
              <w:rPr>
                <w:sz w:val="20"/>
                <w:szCs w:val="20"/>
              </w:rPr>
              <w:t>sensor payloads are deeply nested (5+ levels), the majority of your queries target JSON fields directly rather than time ranges, developer ergonomics for document-style queries matter more than compression and SQL joins, and your team has st</w:t>
            </w:r>
            <w:r>
              <w:rPr>
                <w:sz w:val="20"/>
                <w:szCs w:val="20"/>
              </w:rPr>
              <w:t>rong MongoDB expertise.</w:t>
            </w:r>
          </w:p>
        </w:tc>
      </w:tr>
    </w:tbl>
    <w:p w:rsidR="00865D60" w:rsidRDefault="00865D60"/>
    <w:p w:rsidR="00865D60" w:rsidRDefault="00BE3102">
      <w:r>
        <w:br w:type="page"/>
      </w:r>
    </w:p>
    <w:p w:rsidR="00865D60" w:rsidRDefault="00BE3102">
      <w:pPr>
        <w:pStyle w:val="Heading1"/>
      </w:pPr>
      <w:r>
        <w:t>4. Multi-Tenancy Architecture</w:t>
      </w:r>
    </w:p>
    <w:p w:rsidR="00865D60" w:rsidRDefault="00BE3102">
      <w:pPr>
        <w:pStyle w:val="Heading2"/>
        <w:pBdr>
          <w:bottom w:val="single" w:sz="6" w:space="4" w:color="2563EB"/>
        </w:pBdr>
      </w:pPr>
      <w:r>
        <w:t>4.1 Final Decision: Shared Cluster with Row Level Security</w:t>
      </w:r>
    </w:p>
    <w:p w:rsidR="00865D60" w:rsidRDefault="00865D6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27E87" w:rsidRPr="00A27E8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166534"/>
            <w:tcMar>
              <w:top w:w="140" w:type="dxa"/>
              <w:left w:w="200" w:type="dxa"/>
              <w:bottom w:w="140" w:type="dxa"/>
              <w:right w:w="200" w:type="dxa"/>
            </w:tcMar>
          </w:tcPr>
          <w:p w:rsidR="00865D60" w:rsidRPr="00A27E87" w:rsidRDefault="00BE3102" w:rsidP="00A27E87">
            <w:pPr>
              <w:spacing w:after="60"/>
              <w:rPr>
                <w:color w:val="FFFFFF" w:themeColor="background1"/>
              </w:rPr>
            </w:pPr>
            <w:r w:rsidRPr="00A27E87">
              <w:rPr>
                <w:b/>
                <w:bCs/>
                <w:color w:val="FFFFFF" w:themeColor="background1"/>
                <w:sz w:val="21"/>
                <w:szCs w:val="21"/>
              </w:rPr>
              <w:t>✅</w:t>
            </w:r>
            <w:r w:rsidRPr="00A27E87">
              <w:rPr>
                <w:b/>
                <w:bCs/>
                <w:color w:val="FFFFFF" w:themeColor="background1"/>
                <w:sz w:val="21"/>
                <w:szCs w:val="21"/>
              </w:rPr>
              <w:t xml:space="preserve"> Final Decision  One shared Telemetry DB cluster for all clients, isolated by client_id with PostgreSQL Row Level Security (RLS). NOT separate clusters per client. A dedicated cluster tier is available as a premium option for enterprise clients with contr</w:t>
            </w:r>
            <w:r w:rsidRPr="00A27E87">
              <w:rPr>
                <w:b/>
                <w:bCs/>
                <w:color w:val="FFFFFF" w:themeColor="background1"/>
                <w:sz w:val="21"/>
                <w:szCs w:val="21"/>
              </w:rPr>
              <w:t>actual isolation requirements.</w:t>
            </w:r>
          </w:p>
        </w:tc>
      </w:tr>
    </w:tbl>
    <w:p w:rsidR="00865D60" w:rsidRDefault="00865D60"/>
    <w:p w:rsidR="00865D60" w:rsidRDefault="00BE3102">
      <w:pPr>
        <w:pStyle w:val="Heading2"/>
        <w:pBdr>
          <w:bottom w:val="single" w:sz="6" w:space="4" w:color="2563EB"/>
        </w:pBdr>
      </w:pPr>
      <w:r>
        <w:t>4.2 Why Separate Clusters Per Client Fails at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800"/>
        <w:gridCol w:w="2160"/>
      </w:tblGrid>
      <w:tr w:rsidR="00865D60">
        <w:tblPrEx>
          <w:tblCellMar>
            <w:top w:w="0" w:type="dxa"/>
            <w:bottom w:w="0" w:type="dxa"/>
          </w:tblCellMar>
        </w:tblPrEx>
        <w:trPr>
          <w:tblHeader/>
        </w:trPr>
        <w:tc>
          <w:tcPr>
            <w:tcW w:w="2400" w:type="dxa"/>
            <w:tcBorders>
              <w:top w:val="single" w:sz="1" w:space="0" w:color="D1D5DB"/>
              <w:left w:val="single" w:sz="1" w:space="0" w:color="D1D5DB"/>
              <w:bottom w:val="single" w:sz="1" w:space="0" w:color="D1D5DB"/>
              <w:right w:val="single" w:sz="1" w:space="0" w:color="D1D5DB"/>
            </w:tcBorders>
            <w:shd w:val="clear" w:color="auto" w:fill="0F2044"/>
            <w:tcMar>
              <w:top w:w="100" w:type="dxa"/>
              <w:left w:w="140" w:type="dxa"/>
              <w:bottom w:w="100" w:type="dxa"/>
              <w:right w:w="140" w:type="dxa"/>
            </w:tcMar>
          </w:tcPr>
          <w:p w:rsidR="00865D60" w:rsidRDefault="00BE3102">
            <w:r>
              <w:rPr>
                <w:b/>
                <w:bCs/>
                <w:color w:val="FFFFFF"/>
                <w:sz w:val="20"/>
                <w:szCs w:val="20"/>
              </w:rPr>
              <w:t>Problem</w:t>
            </w:r>
          </w:p>
        </w:tc>
        <w:tc>
          <w:tcPr>
            <w:tcW w:w="4800" w:type="dxa"/>
            <w:tcBorders>
              <w:top w:val="single" w:sz="1" w:space="0" w:color="D1D5DB"/>
              <w:left w:val="single" w:sz="1" w:space="0" w:color="D1D5DB"/>
              <w:bottom w:val="single" w:sz="1" w:space="0" w:color="D1D5DB"/>
              <w:right w:val="single" w:sz="1" w:space="0" w:color="D1D5DB"/>
            </w:tcBorders>
            <w:shd w:val="clear" w:color="auto" w:fill="0F2044"/>
            <w:tcMar>
              <w:top w:w="100" w:type="dxa"/>
              <w:left w:w="140" w:type="dxa"/>
              <w:bottom w:w="100" w:type="dxa"/>
              <w:right w:w="140" w:type="dxa"/>
            </w:tcMar>
          </w:tcPr>
          <w:p w:rsidR="00865D60" w:rsidRDefault="00BE3102">
            <w:r>
              <w:rPr>
                <w:b/>
                <w:bCs/>
                <w:color w:val="FFFFFF"/>
                <w:sz w:val="20"/>
                <w:szCs w:val="20"/>
              </w:rPr>
              <w:t>Real-World Impact</w:t>
            </w:r>
          </w:p>
        </w:tc>
        <w:tc>
          <w:tcPr>
            <w:tcW w:w="2160" w:type="dxa"/>
            <w:tcBorders>
              <w:top w:val="single" w:sz="1" w:space="0" w:color="D1D5DB"/>
              <w:left w:val="single" w:sz="1" w:space="0" w:color="D1D5DB"/>
              <w:bottom w:val="single" w:sz="1" w:space="0" w:color="D1D5DB"/>
              <w:right w:val="single" w:sz="1" w:space="0" w:color="D1D5DB"/>
            </w:tcBorders>
            <w:shd w:val="clear" w:color="auto" w:fill="0F2044"/>
            <w:tcMar>
              <w:top w:w="100" w:type="dxa"/>
              <w:left w:w="140" w:type="dxa"/>
              <w:bottom w:w="100" w:type="dxa"/>
              <w:right w:w="140" w:type="dxa"/>
            </w:tcMar>
          </w:tcPr>
          <w:p w:rsidR="00865D60" w:rsidRDefault="00BE3102">
            <w:r>
              <w:rPr>
                <w:b/>
                <w:bCs/>
                <w:color w:val="FFFFFF"/>
                <w:sz w:val="20"/>
                <w:szCs w:val="20"/>
              </w:rPr>
              <w:t>Severity</w:t>
            </w:r>
          </w:p>
        </w:tc>
      </w:tr>
      <w:tr w:rsidR="00865D60">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Schema migrations run N times</w:t>
            </w:r>
          </w:p>
        </w:tc>
        <w:tc>
          <w:tcPr>
            <w:tcW w:w="4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One failure leaves that client on a different schema. App breaks for that client only. Hours of debugging.</w:t>
            </w:r>
          </w:p>
        </w:tc>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w:t>
            </w:r>
            <w:r>
              <w:rPr>
                <w:sz w:val="20"/>
                <w:szCs w:val="20"/>
              </w:rPr>
              <w:t xml:space="preserve"> Critical</w:t>
            </w:r>
          </w:p>
        </w:tc>
      </w:tr>
      <w:tr w:rsidR="00865D60">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Cost multiplies linearly</w:t>
            </w:r>
          </w:p>
        </w:tc>
        <w:tc>
          <w:tcPr>
            <w:tcW w:w="48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20 clients = ~$1,000/month. 100 clients = ~$5,000/month. Same data, 50x the cost.</w:t>
            </w:r>
          </w:p>
        </w:tc>
        <w:tc>
          <w:tcPr>
            <w:tcW w:w="216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w:t>
            </w:r>
            <w:r>
              <w:rPr>
                <w:sz w:val="20"/>
                <w:szCs w:val="20"/>
              </w:rPr>
              <w:t xml:space="preserve"> Critical</w:t>
            </w:r>
          </w:p>
        </w:tc>
      </w:tr>
      <w:tr w:rsidR="00865D60">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Version drift</w:t>
            </w:r>
          </w:p>
        </w:tc>
        <w:tc>
          <w:tcPr>
            <w:tcW w:w="4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Clusters end up on different Postgres/TimescaleDB versions over time. Silent inconsistencies.</w:t>
            </w:r>
          </w:p>
        </w:tc>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w:t>
            </w:r>
            <w:r>
              <w:rPr>
                <w:sz w:val="20"/>
                <w:szCs w:val="20"/>
              </w:rPr>
              <w:t xml:space="preserve"> Critical</w:t>
            </w:r>
          </w:p>
        </w:tc>
      </w:tr>
      <w:tr w:rsidR="00865D60">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Onboarding friction</w:t>
            </w:r>
          </w:p>
        </w:tc>
        <w:tc>
          <w:tcPr>
            <w:tcW w:w="48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30+ minutes of DevOps provisioning per new client vs instant row insert on shared cluster.</w:t>
            </w:r>
          </w:p>
        </w:tc>
        <w:tc>
          <w:tcPr>
            <w:tcW w:w="216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w:t>
            </w:r>
            <w:r>
              <w:rPr>
                <w:sz w:val="20"/>
                <w:szCs w:val="20"/>
              </w:rPr>
              <w:t xml:space="preserve"> High</w:t>
            </w:r>
          </w:p>
        </w:tc>
      </w:tr>
      <w:tr w:rsidR="00865D60">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No cross-client analytics</w:t>
            </w:r>
          </w:p>
        </w:tc>
        <w:tc>
          <w:tcPr>
            <w:tcW w:w="4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Cannot benchmark fleet performance across clients without building a separate aggregation pipeline.</w:t>
            </w:r>
          </w:p>
        </w:tc>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w:t>
            </w:r>
            <w:r>
              <w:rPr>
                <w:sz w:val="20"/>
                <w:szCs w:val="20"/>
              </w:rPr>
              <w:t xml:space="preserve"> High</w:t>
            </w:r>
          </w:p>
        </w:tc>
      </w:tr>
      <w:tr w:rsidR="00865D60">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Connection pool exhaustion</w:t>
            </w:r>
          </w:p>
        </w:tc>
        <w:tc>
          <w:tcPr>
            <w:tcW w:w="48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50 clients × 10 connections minimum = 500 permanent open connections.</w:t>
            </w:r>
          </w:p>
        </w:tc>
        <w:tc>
          <w:tcPr>
            <w:tcW w:w="216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w:t>
            </w:r>
            <w:r>
              <w:rPr>
                <w:sz w:val="20"/>
                <w:szCs w:val="20"/>
              </w:rPr>
              <w:t xml:space="preserve"> High</w:t>
            </w:r>
          </w:p>
        </w:tc>
      </w:tr>
    </w:tbl>
    <w:p w:rsidR="00865D60" w:rsidRDefault="00865D60"/>
    <w:p w:rsidR="00865D60" w:rsidRDefault="00BE3102">
      <w:pPr>
        <w:pStyle w:val="Heading2"/>
        <w:pBdr>
          <w:bottom w:val="single" w:sz="6" w:space="4" w:color="2563EB"/>
        </w:pBdr>
      </w:pPr>
      <w:r>
        <w:t>4.3 Data Isolation via Row Level Security</w:t>
      </w:r>
    </w:p>
    <w:p w:rsidR="00865D60" w:rsidRDefault="00BE3102">
      <w:pPr>
        <w:spacing w:before="80" w:after="80"/>
      </w:pPr>
      <w:r>
        <w:t>Data isolation is enforced at the PostgreSQL layer — not the application layer. Even if a bug exists in the API, a client cannot see another client's data.</w:t>
      </w:r>
    </w:p>
    <w:p w:rsidR="00865D60" w:rsidRDefault="00865D6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65D60">
        <w:tblPrEx>
          <w:tblCellMar>
            <w:top w:w="0" w:type="dxa"/>
            <w:bottom w:w="0" w:type="dxa"/>
          </w:tblCellMar>
        </w:tblPrEx>
        <w:tc>
          <w:tcPr>
            <w:tcW w:w="9360" w:type="dxa"/>
            <w:tcBorders>
              <w:top w:val="single" w:sz="1" w:space="0" w:color="334155"/>
              <w:left w:val="single" w:sz="1" w:space="0" w:color="334155"/>
              <w:bottom w:val="single" w:sz="1" w:space="0" w:color="334155"/>
              <w:right w:val="single" w:sz="1" w:space="0" w:color="334155"/>
            </w:tcBorders>
            <w:shd w:val="clear" w:color="auto" w:fill="0F172A"/>
            <w:tcMar>
              <w:top w:w="140" w:type="dxa"/>
              <w:left w:w="200" w:type="dxa"/>
              <w:bottom w:w="140" w:type="dxa"/>
              <w:right w:w="200" w:type="dxa"/>
            </w:tcMar>
          </w:tcPr>
          <w:p w:rsidR="00865D60" w:rsidRDefault="00BE3102">
            <w:r>
              <w:rPr>
                <w:rFonts w:ascii="Courier New" w:eastAsia="Courier New" w:hAnsi="Courier New" w:cs="Courier New"/>
                <w:color w:val="7DD3FC"/>
                <w:sz w:val="18"/>
                <w:szCs w:val="18"/>
              </w:rPr>
              <w:t>-- Enable RLS on all telemetry tables</w:t>
            </w:r>
          </w:p>
          <w:p w:rsidR="00865D60" w:rsidRDefault="00BE3102">
            <w:r>
              <w:rPr>
                <w:rFonts w:ascii="Courier New" w:eastAsia="Courier New" w:hAnsi="Courier New" w:cs="Courier New"/>
                <w:color w:val="7DD3FC"/>
                <w:sz w:val="18"/>
                <w:szCs w:val="18"/>
              </w:rPr>
              <w:t>ALTER TABLE unified</w:t>
            </w:r>
            <w:r>
              <w:rPr>
                <w:rFonts w:ascii="Courier New" w:eastAsia="Courier New" w:hAnsi="Courier New" w:cs="Courier New"/>
                <w:color w:val="7DD3FC"/>
                <w:sz w:val="18"/>
                <w:szCs w:val="18"/>
              </w:rPr>
              <w:t>_data ENABLE ROW LEVEL SECURITY;</w:t>
            </w:r>
          </w:p>
          <w:p w:rsidR="00865D60" w:rsidRDefault="00BE3102">
            <w:r>
              <w:rPr>
                <w:rFonts w:ascii="Courier New" w:eastAsia="Courier New" w:hAnsi="Courier New" w:cs="Courier New"/>
                <w:color w:val="7DD3FC"/>
                <w:sz w:val="18"/>
                <w:szCs w:val="18"/>
              </w:rPr>
              <w:t>ALTER TABLE canbus_report_data ENABLE ROW LEVEL SECURITY;</w:t>
            </w:r>
          </w:p>
          <w:p w:rsidR="00865D60" w:rsidRDefault="00BE3102">
            <w:r>
              <w:rPr>
                <w:rFonts w:ascii="Courier New" w:eastAsia="Courier New" w:hAnsi="Courier New" w:cs="Courier New"/>
                <w:color w:val="7DD3FC"/>
                <w:sz w:val="18"/>
                <w:szCs w:val="18"/>
              </w:rPr>
              <w:t>ALTER TABLE nmea_report_data ENABLE ROW LEVEL SECURITY;</w:t>
            </w:r>
          </w:p>
          <w:p w:rsidR="00865D60" w:rsidRDefault="00BE3102">
            <w:r>
              <w:rPr>
                <w:rFonts w:ascii="Courier New" w:eastAsia="Courier New" w:hAnsi="Courier New" w:cs="Courier New"/>
                <w:color w:val="7DD3FC"/>
                <w:sz w:val="18"/>
                <w:szCs w:val="18"/>
              </w:rPr>
              <w:t xml:space="preserve"> </w:t>
            </w:r>
          </w:p>
          <w:p w:rsidR="00865D60" w:rsidRDefault="00BE3102">
            <w:r>
              <w:rPr>
                <w:rFonts w:ascii="Courier New" w:eastAsia="Courier New" w:hAnsi="Courier New" w:cs="Courier New"/>
                <w:color w:val="7DD3FC"/>
                <w:sz w:val="18"/>
                <w:szCs w:val="18"/>
              </w:rPr>
              <w:t>-- Policy: each connection only sees its own client data</w:t>
            </w:r>
          </w:p>
          <w:p w:rsidR="00865D60" w:rsidRDefault="00BE3102">
            <w:r>
              <w:rPr>
                <w:rFonts w:ascii="Courier New" w:eastAsia="Courier New" w:hAnsi="Courier New" w:cs="Courier New"/>
                <w:color w:val="7DD3FC"/>
                <w:sz w:val="18"/>
                <w:szCs w:val="18"/>
              </w:rPr>
              <w:t>CREATE POLICY client_isolation ON unified_data</w:t>
            </w:r>
          </w:p>
          <w:p w:rsidR="00865D60" w:rsidRDefault="00BE3102">
            <w:r>
              <w:rPr>
                <w:rFonts w:ascii="Courier New" w:eastAsia="Courier New" w:hAnsi="Courier New" w:cs="Courier New"/>
                <w:color w:val="7DD3FC"/>
                <w:sz w:val="18"/>
                <w:szCs w:val="18"/>
              </w:rPr>
              <w:t xml:space="preserve">  USING (client_id = current_setting('app.current_client_id')::int);</w:t>
            </w:r>
          </w:p>
          <w:p w:rsidR="00865D60" w:rsidRDefault="00BE3102">
            <w:r>
              <w:rPr>
                <w:rFonts w:ascii="Courier New" w:eastAsia="Courier New" w:hAnsi="Courier New" w:cs="Courier New"/>
                <w:color w:val="7DD3FC"/>
                <w:sz w:val="18"/>
                <w:szCs w:val="18"/>
              </w:rPr>
              <w:t xml:space="preserve"> </w:t>
            </w:r>
          </w:p>
          <w:p w:rsidR="00865D60" w:rsidRDefault="00BE3102">
            <w:r>
              <w:rPr>
                <w:rFonts w:ascii="Courier New" w:eastAsia="Courier New" w:hAnsi="Courier New" w:cs="Courier New"/>
                <w:color w:val="7DD3FC"/>
                <w:sz w:val="18"/>
                <w:szCs w:val="18"/>
              </w:rPr>
              <w:t>-- API sets context per request</w:t>
            </w:r>
          </w:p>
          <w:p w:rsidR="00865D60" w:rsidRDefault="00BE3102">
            <w:r>
              <w:rPr>
                <w:rFonts w:ascii="Courier New" w:eastAsia="Courier New" w:hAnsi="Courier New" w:cs="Courier New"/>
                <w:color w:val="7DD3FC"/>
                <w:sz w:val="18"/>
                <w:szCs w:val="18"/>
              </w:rPr>
              <w:t>SET app.current_client_id = '42';</w:t>
            </w:r>
          </w:p>
          <w:p w:rsidR="00865D60" w:rsidRDefault="00BE3102">
            <w:r>
              <w:rPr>
                <w:rFonts w:ascii="Courier New" w:eastAsia="Courier New" w:hAnsi="Courier New" w:cs="Courier New"/>
                <w:color w:val="7DD3FC"/>
                <w:sz w:val="18"/>
                <w:szCs w:val="18"/>
              </w:rPr>
              <w:t>-- All subsequent queries on this connection only return client 42 data</w:t>
            </w:r>
          </w:p>
          <w:p w:rsidR="00865D60" w:rsidRDefault="00BE3102">
            <w:r>
              <w:rPr>
                <w:rFonts w:ascii="Courier New" w:eastAsia="Courier New" w:hAnsi="Courier New" w:cs="Courier New"/>
                <w:color w:val="7DD3FC"/>
                <w:sz w:val="18"/>
                <w:szCs w:val="18"/>
              </w:rPr>
              <w:t>-- This is enforced at the database engine leve</w:t>
            </w:r>
            <w:r>
              <w:rPr>
                <w:rFonts w:ascii="Courier New" w:eastAsia="Courier New" w:hAnsi="Courier New" w:cs="Courier New"/>
                <w:color w:val="7DD3FC"/>
                <w:sz w:val="18"/>
                <w:szCs w:val="18"/>
              </w:rPr>
              <w:t>l</w:t>
            </w:r>
          </w:p>
        </w:tc>
      </w:tr>
    </w:tbl>
    <w:p w:rsidR="00865D60" w:rsidRDefault="00865D60"/>
    <w:p w:rsidR="00865D60" w:rsidRDefault="00BE3102">
      <w:pPr>
        <w:pStyle w:val="Heading2"/>
        <w:pBdr>
          <w:bottom w:val="single" w:sz="6" w:space="4" w:color="2563EB"/>
        </w:pBdr>
      </w:pPr>
      <w:r>
        <w:t>4.4 When a Dedicated Cluster IS Justified</w:t>
      </w:r>
    </w:p>
    <w:p w:rsidR="00865D60" w:rsidRDefault="00BE3102">
      <w:pPr>
        <w:spacing w:before="80" w:after="80"/>
      </w:pPr>
      <w:r>
        <w:t>A dedicated telemetry cluster should only be provisioned when the client meets all of the following criteria:</w:t>
      </w:r>
    </w:p>
    <w:p w:rsidR="00865D60" w:rsidRDefault="00865D60"/>
    <w:p w:rsidR="00865D60" w:rsidRDefault="00BE3102">
      <w:pPr>
        <w:pStyle w:val="ListParagraph"/>
        <w:numPr>
          <w:ilvl w:val="0"/>
          <w:numId w:val="2"/>
        </w:numPr>
        <w:spacing w:before="60" w:after="60"/>
      </w:pPr>
      <w:r>
        <w:rPr>
          <w:sz w:val="21"/>
          <w:szCs w:val="21"/>
        </w:rPr>
        <w:t>Has 50 or more vessels actively reporting data</w:t>
      </w:r>
    </w:p>
    <w:p w:rsidR="00865D60" w:rsidRDefault="00BE3102">
      <w:pPr>
        <w:pStyle w:val="ListParagraph"/>
        <w:numPr>
          <w:ilvl w:val="0"/>
          <w:numId w:val="2"/>
        </w:numPr>
        <w:spacing w:before="60" w:after="60"/>
      </w:pPr>
      <w:r>
        <w:rPr>
          <w:sz w:val="21"/>
          <w:szCs w:val="21"/>
        </w:rPr>
        <w:t>Has a contractual data isolation requirement (govern</w:t>
      </w:r>
      <w:r>
        <w:rPr>
          <w:sz w:val="21"/>
          <w:szCs w:val="21"/>
        </w:rPr>
        <w:t>ment, military, enterprise compliance)</w:t>
      </w:r>
    </w:p>
    <w:p w:rsidR="00865D60" w:rsidRDefault="00BE3102">
      <w:pPr>
        <w:pStyle w:val="ListParagraph"/>
        <w:numPr>
          <w:ilvl w:val="0"/>
          <w:numId w:val="2"/>
        </w:numPr>
        <w:spacing w:before="60" w:after="60"/>
      </w:pPr>
      <w:r>
        <w:rPr>
          <w:sz w:val="21"/>
          <w:szCs w:val="21"/>
        </w:rPr>
        <w:t>Is on a paid dedicated infrastructure tier at 3–5x standard pricing</w:t>
      </w:r>
    </w:p>
    <w:p w:rsidR="00865D60" w:rsidRDefault="00865D60"/>
    <w:p w:rsidR="00865D60" w:rsidRDefault="00BE3102">
      <w:pPr>
        <w:spacing w:before="80" w:after="80"/>
      </w:pPr>
      <w:r>
        <w:t>This is a premium upsell — not the default. All other clients share the cluster.</w:t>
      </w:r>
    </w:p>
    <w:p w:rsidR="00865D60" w:rsidRDefault="00BE3102">
      <w:r>
        <w:br w:type="page"/>
      </w:r>
    </w:p>
    <w:p w:rsidR="00865D60" w:rsidRDefault="00BE3102">
      <w:pPr>
        <w:pStyle w:val="Heading1"/>
      </w:pPr>
      <w:r>
        <w:t>5. Full System Architecture</w:t>
      </w:r>
    </w:p>
    <w:p w:rsidR="00865D60" w:rsidRDefault="00BE3102">
      <w:pPr>
        <w:pStyle w:val="Heading2"/>
        <w:pBdr>
          <w:bottom w:val="single" w:sz="6" w:space="4" w:color="2563EB"/>
        </w:pBdr>
      </w:pPr>
      <w:r>
        <w:t>5.1 Database Clusters</w:t>
      </w:r>
    </w:p>
    <w:p w:rsidR="00865D60" w:rsidRDefault="00865D6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800"/>
        <w:gridCol w:w="4360"/>
        <w:gridCol w:w="1600"/>
      </w:tblGrid>
      <w:tr w:rsidR="00865D60">
        <w:tblPrEx>
          <w:tblCellMar>
            <w:top w:w="0" w:type="dxa"/>
            <w:bottom w:w="0" w:type="dxa"/>
          </w:tblCellMar>
        </w:tblPrEx>
        <w:trPr>
          <w:tblHeader/>
        </w:trPr>
        <w:tc>
          <w:tcPr>
            <w:tcW w:w="1600" w:type="dxa"/>
            <w:tcBorders>
              <w:top w:val="single" w:sz="1" w:space="0" w:color="D1D5DB"/>
              <w:left w:val="single" w:sz="1" w:space="0" w:color="D1D5DB"/>
              <w:bottom w:val="single" w:sz="1" w:space="0" w:color="D1D5DB"/>
              <w:right w:val="single" w:sz="1" w:space="0" w:color="D1D5DB"/>
            </w:tcBorders>
            <w:shd w:val="clear" w:color="auto" w:fill="0F2044"/>
            <w:tcMar>
              <w:top w:w="100" w:type="dxa"/>
              <w:left w:w="140" w:type="dxa"/>
              <w:bottom w:w="100" w:type="dxa"/>
              <w:right w:w="140" w:type="dxa"/>
            </w:tcMar>
          </w:tcPr>
          <w:p w:rsidR="00865D60" w:rsidRDefault="00BE3102">
            <w:r>
              <w:rPr>
                <w:b/>
                <w:bCs/>
                <w:color w:val="FFFFFF"/>
                <w:sz w:val="20"/>
                <w:szCs w:val="20"/>
              </w:rPr>
              <w:t>Cluster</w:t>
            </w:r>
          </w:p>
        </w:tc>
        <w:tc>
          <w:tcPr>
            <w:tcW w:w="1800" w:type="dxa"/>
            <w:tcBorders>
              <w:top w:val="single" w:sz="1" w:space="0" w:color="D1D5DB"/>
              <w:left w:val="single" w:sz="1" w:space="0" w:color="D1D5DB"/>
              <w:bottom w:val="single" w:sz="1" w:space="0" w:color="D1D5DB"/>
              <w:right w:val="single" w:sz="1" w:space="0" w:color="D1D5DB"/>
            </w:tcBorders>
            <w:shd w:val="clear" w:color="auto" w:fill="0F2044"/>
            <w:tcMar>
              <w:top w:w="100" w:type="dxa"/>
              <w:left w:w="140" w:type="dxa"/>
              <w:bottom w:w="100" w:type="dxa"/>
              <w:right w:w="140" w:type="dxa"/>
            </w:tcMar>
          </w:tcPr>
          <w:p w:rsidR="00865D60" w:rsidRDefault="00BE3102">
            <w:r>
              <w:rPr>
                <w:b/>
                <w:bCs/>
                <w:color w:val="FFFFFF"/>
                <w:sz w:val="20"/>
                <w:szCs w:val="20"/>
              </w:rPr>
              <w:t>Technology</w:t>
            </w:r>
          </w:p>
        </w:tc>
        <w:tc>
          <w:tcPr>
            <w:tcW w:w="4360" w:type="dxa"/>
            <w:tcBorders>
              <w:top w:val="single" w:sz="1" w:space="0" w:color="D1D5DB"/>
              <w:left w:val="single" w:sz="1" w:space="0" w:color="D1D5DB"/>
              <w:bottom w:val="single" w:sz="1" w:space="0" w:color="D1D5DB"/>
              <w:right w:val="single" w:sz="1" w:space="0" w:color="D1D5DB"/>
            </w:tcBorders>
            <w:shd w:val="clear" w:color="auto" w:fill="0F2044"/>
            <w:tcMar>
              <w:top w:w="100" w:type="dxa"/>
              <w:left w:w="140" w:type="dxa"/>
              <w:bottom w:w="100" w:type="dxa"/>
              <w:right w:w="140" w:type="dxa"/>
            </w:tcMar>
          </w:tcPr>
          <w:p w:rsidR="00865D60" w:rsidRDefault="00BE3102">
            <w:r>
              <w:rPr>
                <w:b/>
                <w:bCs/>
                <w:color w:val="FFFFFF"/>
                <w:sz w:val="20"/>
                <w:szCs w:val="20"/>
              </w:rPr>
              <w:t>Tables</w:t>
            </w:r>
          </w:p>
        </w:tc>
        <w:tc>
          <w:tcPr>
            <w:tcW w:w="1600" w:type="dxa"/>
            <w:tcBorders>
              <w:top w:val="single" w:sz="1" w:space="0" w:color="D1D5DB"/>
              <w:left w:val="single" w:sz="1" w:space="0" w:color="D1D5DB"/>
              <w:bottom w:val="single" w:sz="1" w:space="0" w:color="D1D5DB"/>
              <w:right w:val="single" w:sz="1" w:space="0" w:color="D1D5DB"/>
            </w:tcBorders>
            <w:shd w:val="clear" w:color="auto" w:fill="0F2044"/>
            <w:tcMar>
              <w:top w:w="100" w:type="dxa"/>
              <w:left w:w="140" w:type="dxa"/>
              <w:bottom w:w="100" w:type="dxa"/>
              <w:right w:w="140" w:type="dxa"/>
            </w:tcMar>
          </w:tcPr>
          <w:p w:rsidR="00865D60" w:rsidRDefault="00BE3102">
            <w:r>
              <w:rPr>
                <w:b/>
                <w:bCs/>
                <w:color w:val="FFFFFF"/>
                <w:sz w:val="20"/>
                <w:szCs w:val="20"/>
              </w:rPr>
              <w:t>Starting Size</w:t>
            </w:r>
          </w:p>
        </w:tc>
      </w:tr>
      <w:tr w:rsidR="00865D60">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Master DB</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Plain PostgreSQL</w:t>
            </w:r>
          </w:p>
        </w:tc>
        <w:tc>
          <w:tcPr>
            <w:tcW w:w="43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vessel, device, device_type, fleet_type, fuel_type, engine, user, customer, role, auth tables, parameter_master_data, vessel_dashboard_config, gis_point_type</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2GB RAM</w:t>
            </w:r>
          </w:p>
        </w:tc>
      </w:tr>
      <w:tr w:rsidR="00865D60">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Telemetry DB</w:t>
            </w:r>
          </w:p>
        </w:tc>
        <w:tc>
          <w:tcPr>
            <w:tcW w:w="18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PostgreSQL + TimescaleDB</w:t>
            </w:r>
          </w:p>
        </w:tc>
        <w:tc>
          <w:tcPr>
            <w:tcW w:w="436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unified_data, canbus_report_data, nmea_report_data, noon_report_data, weather_data, device_alarms, device_alarm_parameters, alert_notifications, pipeline_runs, processing_logs, total_fuel_consumption</w:t>
            </w:r>
          </w:p>
        </w:tc>
        <w:tc>
          <w:tcPr>
            <w:tcW w:w="16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8GB RAM</w:t>
            </w:r>
          </w:p>
        </w:tc>
      </w:tr>
    </w:tbl>
    <w:p w:rsidR="00865D60" w:rsidRDefault="00865D6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65D60">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1E40AF"/>
            <w:tcMar>
              <w:top w:w="140" w:type="dxa"/>
              <w:left w:w="200" w:type="dxa"/>
              <w:bottom w:w="140" w:type="dxa"/>
              <w:right w:w="200" w:type="dxa"/>
            </w:tcMar>
          </w:tcPr>
          <w:p w:rsidR="00865D60" w:rsidRDefault="00BE3102" w:rsidP="00A27E87">
            <w:pPr>
              <w:spacing w:after="60"/>
            </w:pPr>
            <w:r>
              <w:rPr>
                <w:b/>
                <w:bCs/>
                <w:sz w:val="21"/>
                <w:szCs w:val="21"/>
              </w:rPr>
              <w:t>ℹ</w:t>
            </w:r>
            <w:r>
              <w:rPr>
                <w:b/>
                <w:bCs/>
                <w:sz w:val="21"/>
                <w:szCs w:val="21"/>
              </w:rPr>
              <w:t>️</w:t>
            </w:r>
            <w:r w:rsidRPr="00A27E87">
              <w:rPr>
                <w:b/>
                <w:bCs/>
                <w:color w:val="FFFFFF" w:themeColor="background1"/>
                <w:sz w:val="21"/>
                <w:szCs w:val="21"/>
              </w:rPr>
              <w:t xml:space="preserve"> Cross-DB Relations  Foreign keys cannot span separate PostgreSQL clusters. The backend API enforces referential integrity at the application layer — fetching vessel and client metadata from Master DB and using those IDs to query Telemetry DB. This is st</w:t>
            </w:r>
            <w:r w:rsidRPr="00A27E87">
              <w:rPr>
                <w:b/>
                <w:bCs/>
                <w:color w:val="FFFFFF" w:themeColor="background1"/>
                <w:sz w:val="21"/>
                <w:szCs w:val="21"/>
              </w:rPr>
              <w:t>andard practice for distributed database architectures.</w:t>
            </w:r>
          </w:p>
        </w:tc>
      </w:tr>
    </w:tbl>
    <w:p w:rsidR="00865D60" w:rsidRDefault="00865D60"/>
    <w:p w:rsidR="00865D60" w:rsidRDefault="00BE3102">
      <w:pPr>
        <w:pStyle w:val="Heading2"/>
        <w:pBdr>
          <w:bottom w:val="single" w:sz="6" w:space="4" w:color="2563EB"/>
        </w:pBdr>
      </w:pPr>
      <w:r>
        <w:t>5.2 Complete Data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65D60">
        <w:tblPrEx>
          <w:tblCellMar>
            <w:top w:w="0" w:type="dxa"/>
            <w:bottom w:w="0" w:type="dxa"/>
          </w:tblCellMar>
        </w:tblPrEx>
        <w:tc>
          <w:tcPr>
            <w:tcW w:w="9360" w:type="dxa"/>
            <w:tcBorders>
              <w:top w:val="single" w:sz="1" w:space="0" w:color="334155"/>
              <w:left w:val="single" w:sz="1" w:space="0" w:color="334155"/>
              <w:bottom w:val="single" w:sz="1" w:space="0" w:color="334155"/>
              <w:right w:val="single" w:sz="1" w:space="0" w:color="334155"/>
            </w:tcBorders>
            <w:shd w:val="clear" w:color="auto" w:fill="0F172A"/>
            <w:tcMar>
              <w:top w:w="140" w:type="dxa"/>
              <w:left w:w="200" w:type="dxa"/>
              <w:bottom w:w="140" w:type="dxa"/>
              <w:right w:w="200" w:type="dxa"/>
            </w:tcMar>
          </w:tcPr>
          <w:p w:rsidR="00865D60" w:rsidRDefault="00BE3102">
            <w:r>
              <w:rPr>
                <w:rFonts w:ascii="Courier New" w:eastAsia="Courier New" w:hAnsi="Courier New" w:cs="Courier New"/>
                <w:color w:val="7DD3FC"/>
                <w:sz w:val="18"/>
                <w:szCs w:val="18"/>
              </w:rPr>
              <w:t>┌────────────────────────────────────────────────────────────────┐</w:t>
            </w:r>
          </w:p>
          <w:p w:rsidR="00865D60" w:rsidRDefault="00BE3102">
            <w:r>
              <w:rPr>
                <w:rFonts w:ascii="Courier New" w:eastAsia="Courier New" w:hAnsi="Courier New" w:cs="Courier New"/>
                <w:color w:val="7DD3FC"/>
                <w:sz w:val="18"/>
                <w:szCs w:val="18"/>
              </w:rPr>
              <w:t>│  VESSELS (10 to 10,000)                                        │</w:t>
            </w:r>
          </w:p>
          <w:p w:rsidR="00865D60" w:rsidRDefault="00BE3102">
            <w:r>
              <w:rPr>
                <w:rFonts w:ascii="Courier New" w:eastAsia="Courier New" w:hAnsi="Courier New" w:cs="Courier New"/>
                <w:color w:val="7DD3FC"/>
                <w:sz w:val="18"/>
                <w:szCs w:val="18"/>
              </w:rPr>
              <w:t>│  NMEA, CAN bus, IoT sensors — any brand, any field names       │</w:t>
            </w:r>
          </w:p>
          <w:p w:rsidR="00865D60" w:rsidRDefault="00BE3102">
            <w:r>
              <w:rPr>
                <w:rFonts w:ascii="Courier New" w:eastAsia="Courier New" w:hAnsi="Courier New" w:cs="Courier New"/>
                <w:color w:val="7DD3FC"/>
                <w:sz w:val="18"/>
                <w:szCs w:val="18"/>
              </w:rPr>
              <w:t>└──────────────────────────┬─────────────────────────────────────┘</w:t>
            </w:r>
          </w:p>
          <w:p w:rsidR="00865D60" w:rsidRDefault="00BE3102">
            <w:r>
              <w:rPr>
                <w:rFonts w:ascii="Courier New" w:eastAsia="Courier New" w:hAnsi="Courier New" w:cs="Courier New"/>
                <w:color w:val="7DD3FC"/>
                <w:sz w:val="18"/>
                <w:szCs w:val="18"/>
              </w:rPr>
              <w:t xml:space="preserve">                           │  raw data streams</w:t>
            </w:r>
          </w:p>
          <w:p w:rsidR="00865D60" w:rsidRDefault="00BE3102">
            <w:r>
              <w:rPr>
                <w:rFonts w:ascii="Courier New" w:eastAsia="Courier New" w:hAnsi="Courier New" w:cs="Courier New"/>
                <w:color w:val="7DD3FC"/>
                <w:sz w:val="18"/>
                <w:szCs w:val="18"/>
              </w:rPr>
              <w:t xml:space="preserve">                           ▼</w:t>
            </w:r>
          </w:p>
          <w:p w:rsidR="00865D60" w:rsidRDefault="00BE3102">
            <w:r>
              <w:rPr>
                <w:rFonts w:ascii="Courier New" w:eastAsia="Courier New" w:hAnsi="Courier New" w:cs="Courier New"/>
                <w:color w:val="7DD3FC"/>
                <w:sz w:val="18"/>
                <w:szCs w:val="18"/>
              </w:rPr>
              <w:t>┌─────────────────────────────────────────────</w:t>
            </w:r>
            <w:r>
              <w:rPr>
                <w:rFonts w:ascii="Courier New" w:eastAsia="Courier New" w:hAnsi="Courier New" w:cs="Courier New"/>
                <w:color w:val="7DD3FC"/>
                <w:sz w:val="18"/>
                <w:szCs w:val="18"/>
              </w:rPr>
              <w:t>───────────────────┐</w:t>
            </w:r>
          </w:p>
          <w:p w:rsidR="00865D60" w:rsidRDefault="00BE3102">
            <w:r>
              <w:rPr>
                <w:rFonts w:ascii="Courier New" w:eastAsia="Courier New" w:hAnsi="Courier New" w:cs="Courier New"/>
                <w:color w:val="7DD3FC"/>
                <w:sz w:val="18"/>
                <w:szCs w:val="18"/>
              </w:rPr>
              <w:t>│  KAFKA / REDPANDA  (permanent ingestion buffer)                │</w:t>
            </w:r>
          </w:p>
          <w:p w:rsidR="00865D60" w:rsidRDefault="00BE3102">
            <w:r>
              <w:rPr>
                <w:rFonts w:ascii="Courier New" w:eastAsia="Courier New" w:hAnsi="Courier New" w:cs="Courier New"/>
                <w:color w:val="7DD3FC"/>
                <w:sz w:val="18"/>
                <w:szCs w:val="18"/>
              </w:rPr>
              <w:t>│  Topic: canbus     Topic: nmea     Topic: noon    Topic: alarm  │</w:t>
            </w:r>
          </w:p>
          <w:p w:rsidR="00865D60" w:rsidRDefault="00BE3102">
            <w:r>
              <w:rPr>
                <w:rFonts w:ascii="Courier New" w:eastAsia="Courier New" w:hAnsi="Courier New" w:cs="Courier New"/>
                <w:color w:val="7DD3FC"/>
                <w:sz w:val="18"/>
                <w:szCs w:val="18"/>
              </w:rPr>
              <w:t>│  Partition by vessel_id — add partitions as fleet grows        │</w:t>
            </w:r>
          </w:p>
          <w:p w:rsidR="00865D60" w:rsidRDefault="00BE3102">
            <w:r>
              <w:rPr>
                <w:rFonts w:ascii="Courier New" w:eastAsia="Courier New" w:hAnsi="Courier New" w:cs="Courier New"/>
                <w:color w:val="7DD3FC"/>
                <w:sz w:val="18"/>
                <w:szCs w:val="18"/>
              </w:rPr>
              <w:t>└──────────────────────────┬─────</w:t>
            </w:r>
            <w:r>
              <w:rPr>
                <w:rFonts w:ascii="Courier New" w:eastAsia="Courier New" w:hAnsi="Courier New" w:cs="Courier New"/>
                <w:color w:val="7DD3FC"/>
                <w:sz w:val="18"/>
                <w:szCs w:val="18"/>
              </w:rPr>
              <w:t>────────────────────────────────┘</w:t>
            </w:r>
          </w:p>
          <w:p w:rsidR="00865D60" w:rsidRDefault="00BE3102">
            <w:r>
              <w:rPr>
                <w:rFonts w:ascii="Courier New" w:eastAsia="Courier New" w:hAnsi="Courier New" w:cs="Courier New"/>
                <w:color w:val="7DD3FC"/>
                <w:sz w:val="18"/>
                <w:szCs w:val="18"/>
              </w:rPr>
              <w:t xml:space="preserve">                           │  batch consume</w:t>
            </w:r>
          </w:p>
          <w:p w:rsidR="00865D60" w:rsidRDefault="00BE3102">
            <w:r>
              <w:rPr>
                <w:rFonts w:ascii="Courier New" w:eastAsia="Courier New" w:hAnsi="Courier New" w:cs="Courier New"/>
                <w:color w:val="7DD3FC"/>
                <w:sz w:val="18"/>
                <w:szCs w:val="18"/>
              </w:rPr>
              <w:t xml:space="preserve">                           ▼</w:t>
            </w:r>
          </w:p>
          <w:p w:rsidR="00865D60" w:rsidRDefault="00BE3102">
            <w:r>
              <w:rPr>
                <w:rFonts w:ascii="Courier New" w:eastAsia="Courier New" w:hAnsi="Courier New" w:cs="Courier New"/>
                <w:color w:val="7DD3FC"/>
                <w:sz w:val="18"/>
                <w:szCs w:val="18"/>
              </w:rPr>
              <w:t>┌────────────────────────────────────────────────────────────────┐</w:t>
            </w:r>
          </w:p>
          <w:p w:rsidR="00865D60" w:rsidRDefault="00BE3102">
            <w:r>
              <w:rPr>
                <w:rFonts w:ascii="Courier New" w:eastAsia="Courier New" w:hAnsi="Courier New" w:cs="Courier New"/>
                <w:color w:val="7DD3FC"/>
                <w:sz w:val="18"/>
                <w:szCs w:val="18"/>
              </w:rPr>
              <w:t>│  WORKER PROCESSES  (horizontally scalable)                     │</w:t>
            </w:r>
          </w:p>
          <w:p w:rsidR="00865D60" w:rsidRDefault="00BE3102">
            <w:r>
              <w:rPr>
                <w:rFonts w:ascii="Courier New" w:eastAsia="Courier New" w:hAnsi="Courier New" w:cs="Courier New"/>
                <w:color w:val="7DD3FC"/>
                <w:sz w:val="18"/>
                <w:szCs w:val="18"/>
              </w:rPr>
              <w:t>│  1. Read parameter_master_data from Master DB                  │</w:t>
            </w:r>
          </w:p>
          <w:p w:rsidR="00865D60" w:rsidRDefault="00BE3102">
            <w:r>
              <w:rPr>
                <w:rFonts w:ascii="Courier New" w:eastAsia="Courier New" w:hAnsi="Courier New" w:cs="Courier New"/>
                <w:color w:val="7DD3FC"/>
                <w:sz w:val="18"/>
                <w:szCs w:val="18"/>
              </w:rPr>
              <w:t>│  2. Map sensor fields to standard columns                      │</w:t>
            </w:r>
          </w:p>
          <w:p w:rsidR="00865D60" w:rsidRDefault="00BE3102">
            <w:r>
              <w:rPr>
                <w:rFonts w:ascii="Courier New" w:eastAsia="Courier New" w:hAnsi="Courier New" w:cs="Courier New"/>
                <w:color w:val="7DD3FC"/>
                <w:sz w:val="18"/>
                <w:szCs w:val="18"/>
              </w:rPr>
              <w:t>│  3. Unmapped fields → raw_payload JSONB                        │</w:t>
            </w:r>
          </w:p>
          <w:p w:rsidR="00865D60" w:rsidRDefault="00BE3102">
            <w:r>
              <w:rPr>
                <w:rFonts w:ascii="Courier New" w:eastAsia="Courier New" w:hAnsi="Courier New" w:cs="Courier New"/>
                <w:color w:val="7DD3FC"/>
                <w:sz w:val="18"/>
                <w:szCs w:val="18"/>
              </w:rPr>
              <w:t>│  4. Validate, enrich, detect alarm conditions                  │</w:t>
            </w:r>
          </w:p>
          <w:p w:rsidR="00865D60" w:rsidRDefault="00BE3102">
            <w:r>
              <w:rPr>
                <w:rFonts w:ascii="Courier New" w:eastAsia="Courier New" w:hAnsi="Courier New" w:cs="Courier New"/>
                <w:color w:val="7DD3FC"/>
                <w:sz w:val="18"/>
                <w:szCs w:val="18"/>
              </w:rPr>
              <w:t>│  5. Batch insert to Telemetry DB                               │</w:t>
            </w:r>
          </w:p>
          <w:p w:rsidR="00865D60" w:rsidRDefault="00BE3102">
            <w:r>
              <w:rPr>
                <w:rFonts w:ascii="Courier New" w:eastAsia="Courier New" w:hAnsi="Courier New" w:cs="Courier New"/>
                <w:color w:val="7DD3FC"/>
                <w:sz w:val="18"/>
                <w:szCs w:val="18"/>
              </w:rPr>
              <w:t>└───────────┬──────────────────────────┬──────────────────────── ┘</w:t>
            </w:r>
          </w:p>
          <w:p w:rsidR="00865D60" w:rsidRDefault="00BE3102">
            <w:r>
              <w:rPr>
                <w:rFonts w:ascii="Courier New" w:eastAsia="Courier New" w:hAnsi="Courier New" w:cs="Courier New"/>
                <w:color w:val="7DD3FC"/>
                <w:sz w:val="18"/>
                <w:szCs w:val="18"/>
              </w:rPr>
              <w:t xml:space="preserve">            │                          │</w:t>
            </w:r>
          </w:p>
          <w:p w:rsidR="00865D60" w:rsidRDefault="00BE3102">
            <w:r>
              <w:rPr>
                <w:rFonts w:ascii="Courier New" w:eastAsia="Courier New" w:hAnsi="Courier New" w:cs="Courier New"/>
                <w:color w:val="7DD3FC"/>
                <w:sz w:val="18"/>
                <w:szCs w:val="18"/>
              </w:rPr>
              <w:t xml:space="preserve">            ▼ </w:t>
            </w:r>
            <w:r>
              <w:rPr>
                <w:rFonts w:ascii="Courier New" w:eastAsia="Courier New" w:hAnsi="Courier New" w:cs="Courier New"/>
                <w:color w:val="7DD3FC"/>
                <w:sz w:val="18"/>
                <w:szCs w:val="18"/>
              </w:rPr>
              <w:t xml:space="preserve">                         ▼</w:t>
            </w:r>
          </w:p>
          <w:p w:rsidR="00865D60" w:rsidRDefault="00BE3102">
            <w:r>
              <w:rPr>
                <w:rFonts w:ascii="Courier New" w:eastAsia="Courier New" w:hAnsi="Courier New" w:cs="Courier New"/>
                <w:color w:val="7DD3FC"/>
                <w:sz w:val="18"/>
                <w:szCs w:val="18"/>
              </w:rPr>
              <w:t>┌─────────────────────┐   ┌────────────────────────────────────┐</w:t>
            </w:r>
          </w:p>
          <w:p w:rsidR="00865D60" w:rsidRDefault="00BE3102">
            <w:r>
              <w:rPr>
                <w:rFonts w:ascii="Courier New" w:eastAsia="Courier New" w:hAnsi="Courier New" w:cs="Courier New"/>
                <w:color w:val="7DD3FC"/>
                <w:sz w:val="18"/>
                <w:szCs w:val="18"/>
              </w:rPr>
              <w:t>│  TIMESCALEDB        │   │  MASTER DB (Plain Postgres)         │</w:t>
            </w:r>
          </w:p>
          <w:p w:rsidR="00865D60" w:rsidRDefault="00BE3102">
            <w:r>
              <w:rPr>
                <w:rFonts w:ascii="Courier New" w:eastAsia="Courier New" w:hAnsi="Courier New" w:cs="Courier New"/>
                <w:color w:val="7DD3FC"/>
                <w:sz w:val="18"/>
                <w:szCs w:val="18"/>
              </w:rPr>
              <w:t>│  Hot data: 90 days  │   │  vessel, user, auth, config        │</w:t>
            </w:r>
          </w:p>
          <w:p w:rsidR="00865D60" w:rsidRDefault="00BE3102">
            <w:r>
              <w:rPr>
                <w:rFonts w:ascii="Courier New" w:eastAsia="Courier New" w:hAnsi="Courier New" w:cs="Courier New"/>
                <w:color w:val="7DD3FC"/>
                <w:sz w:val="18"/>
                <w:szCs w:val="18"/>
              </w:rPr>
              <w:t>│  Auto-compress: 7d  │   │  para</w:t>
            </w:r>
            <w:r>
              <w:rPr>
                <w:rFonts w:ascii="Courier New" w:eastAsia="Courier New" w:hAnsi="Courier New" w:cs="Courier New"/>
                <w:color w:val="7DD3FC"/>
                <w:sz w:val="18"/>
                <w:szCs w:val="18"/>
              </w:rPr>
              <w:t>meter_master_data             │</w:t>
            </w:r>
          </w:p>
          <w:p w:rsidR="00865D60" w:rsidRDefault="00BE3102">
            <w:r>
              <w:rPr>
                <w:rFonts w:ascii="Courier New" w:eastAsia="Courier New" w:hAnsi="Courier New" w:cs="Courier New"/>
                <w:color w:val="7DD3FC"/>
                <w:sz w:val="18"/>
                <w:szCs w:val="18"/>
              </w:rPr>
              <w:t>│  + Citus if needed  │   │  vessel_dashboard_config           │</w:t>
            </w:r>
          </w:p>
          <w:p w:rsidR="00865D60" w:rsidRDefault="00BE3102">
            <w:r>
              <w:rPr>
                <w:rFonts w:ascii="Courier New" w:eastAsia="Courier New" w:hAnsi="Courier New" w:cs="Courier New"/>
                <w:color w:val="7DD3FC"/>
                <w:sz w:val="18"/>
                <w:szCs w:val="18"/>
              </w:rPr>
              <w:t>└────────┬────────────┘   └────────────────────────────────────┘</w:t>
            </w:r>
          </w:p>
          <w:p w:rsidR="00865D60" w:rsidRDefault="00BE3102">
            <w:r>
              <w:rPr>
                <w:rFonts w:ascii="Courier New" w:eastAsia="Courier New" w:hAnsi="Courier New" w:cs="Courier New"/>
                <w:color w:val="7DD3FC"/>
                <w:sz w:val="18"/>
                <w:szCs w:val="18"/>
              </w:rPr>
              <w:t xml:space="preserve">         │  nightly archive job</w:t>
            </w:r>
          </w:p>
          <w:p w:rsidR="00865D60" w:rsidRDefault="00BE3102">
            <w:r>
              <w:rPr>
                <w:rFonts w:ascii="Courier New" w:eastAsia="Courier New" w:hAnsi="Courier New" w:cs="Courier New"/>
                <w:color w:val="7DD3FC"/>
                <w:sz w:val="18"/>
                <w:szCs w:val="18"/>
              </w:rPr>
              <w:t xml:space="preserve">         ▼</w:t>
            </w:r>
          </w:p>
          <w:p w:rsidR="00865D60" w:rsidRDefault="00BE3102">
            <w:r>
              <w:rPr>
                <w:rFonts w:ascii="Courier New" w:eastAsia="Courier New" w:hAnsi="Courier New" w:cs="Courier New"/>
                <w:color w:val="7DD3FC"/>
                <w:sz w:val="18"/>
                <w:szCs w:val="18"/>
              </w:rPr>
              <w:t>┌──────────────────────────────────────────────────</w:t>
            </w:r>
            <w:r>
              <w:rPr>
                <w:rFonts w:ascii="Courier New" w:eastAsia="Courier New" w:hAnsi="Courier New" w:cs="Courier New"/>
                <w:color w:val="7DD3FC"/>
                <w:sz w:val="18"/>
                <w:szCs w:val="18"/>
              </w:rPr>
              <w:t>──────────────┐</w:t>
            </w:r>
          </w:p>
          <w:p w:rsidR="00865D60" w:rsidRDefault="00BE3102">
            <w:r>
              <w:rPr>
                <w:rFonts w:ascii="Courier New" w:eastAsia="Courier New" w:hAnsi="Courier New" w:cs="Courier New"/>
                <w:color w:val="7DD3FC"/>
                <w:sz w:val="18"/>
                <w:szCs w:val="18"/>
              </w:rPr>
              <w:t>│  DO SPACES / AWS S3  (cold storage)                            │</w:t>
            </w:r>
          </w:p>
          <w:p w:rsidR="00865D60" w:rsidRDefault="00BE3102">
            <w:r>
              <w:rPr>
                <w:rFonts w:ascii="Courier New" w:eastAsia="Courier New" w:hAnsi="Courier New" w:cs="Courier New"/>
                <w:color w:val="7DD3FC"/>
                <w:sz w:val="18"/>
                <w:szCs w:val="18"/>
              </w:rPr>
              <w:t>│  Parquet files, partitioned by client/vessel/year/month        │</w:t>
            </w:r>
          </w:p>
          <w:p w:rsidR="00865D60" w:rsidRDefault="00BE3102">
            <w:r>
              <w:rPr>
                <w:rFonts w:ascii="Courier New" w:eastAsia="Courier New" w:hAnsi="Courier New" w:cs="Courier New"/>
                <w:color w:val="7DD3FC"/>
                <w:sz w:val="18"/>
                <w:szCs w:val="18"/>
              </w:rPr>
              <w:t>│  Queried via DuckDB — 2 to 5 second response for any date range│</w:t>
            </w:r>
          </w:p>
          <w:p w:rsidR="00865D60" w:rsidRDefault="00BE3102">
            <w:r>
              <w:rPr>
                <w:rFonts w:ascii="Courier New" w:eastAsia="Courier New" w:hAnsi="Courier New" w:cs="Courier New"/>
                <w:color w:val="7DD3FC"/>
                <w:sz w:val="18"/>
                <w:szCs w:val="18"/>
              </w:rPr>
              <w:t xml:space="preserve">│  S3 lifecycle tiering: Standard → IA </w:t>
            </w:r>
            <w:r>
              <w:rPr>
                <w:rFonts w:ascii="Courier New" w:eastAsia="Courier New" w:hAnsi="Courier New" w:cs="Courier New"/>
                <w:color w:val="7DD3FC"/>
                <w:sz w:val="18"/>
                <w:szCs w:val="18"/>
              </w:rPr>
              <w:t>→ Glacier automatically   │</w:t>
            </w:r>
          </w:p>
          <w:p w:rsidR="00865D60" w:rsidRDefault="00BE3102">
            <w:r>
              <w:rPr>
                <w:rFonts w:ascii="Courier New" w:eastAsia="Courier New" w:hAnsi="Courier New" w:cs="Courier New"/>
                <w:color w:val="7DD3FC"/>
                <w:sz w:val="18"/>
                <w:szCs w:val="18"/>
              </w:rPr>
              <w:t>└────────────────────────────────────────────────────────────────┘</w:t>
            </w:r>
          </w:p>
        </w:tc>
      </w:tr>
    </w:tbl>
    <w:p w:rsidR="00865D60" w:rsidRDefault="00BE3102">
      <w:r>
        <w:br w:type="page"/>
      </w:r>
    </w:p>
    <w:p w:rsidR="00865D60" w:rsidRDefault="00BE3102">
      <w:pPr>
        <w:pStyle w:val="Heading1"/>
      </w:pPr>
      <w:r>
        <w:t>6. Hot / Cold Storage Strategy</w:t>
      </w:r>
    </w:p>
    <w:p w:rsidR="00865D60" w:rsidRDefault="00BE3102">
      <w:pPr>
        <w:pStyle w:val="Heading2"/>
        <w:pBdr>
          <w:bottom w:val="single" w:sz="6" w:space="4" w:color="2563EB"/>
        </w:pBdr>
      </w:pPr>
      <w:r>
        <w:t>6.1 Why Tiering Is Essential</w:t>
      </w:r>
    </w:p>
    <w:p w:rsidR="00865D60" w:rsidRDefault="00865D6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865D60">
        <w:tblPrEx>
          <w:tblCellMar>
            <w:top w:w="0" w:type="dxa"/>
            <w:bottom w:w="0" w:type="dxa"/>
          </w:tblCellMar>
        </w:tblPrEx>
        <w:trPr>
          <w:tblHeader/>
        </w:trPr>
        <w:tc>
          <w:tcPr>
            <w:tcW w:w="4680" w:type="dxa"/>
            <w:tcBorders>
              <w:top w:val="single" w:sz="1" w:space="0" w:color="D1D5DB"/>
              <w:left w:val="single" w:sz="1" w:space="0" w:color="D1D5DB"/>
              <w:bottom w:val="single" w:sz="1" w:space="0" w:color="D1D5DB"/>
              <w:right w:val="single" w:sz="1" w:space="0" w:color="D1D5DB"/>
            </w:tcBorders>
            <w:shd w:val="clear" w:color="auto" w:fill="0F2044"/>
            <w:tcMar>
              <w:top w:w="100" w:type="dxa"/>
              <w:left w:w="140" w:type="dxa"/>
              <w:bottom w:w="100" w:type="dxa"/>
              <w:right w:w="140" w:type="dxa"/>
            </w:tcMar>
          </w:tcPr>
          <w:p w:rsidR="00865D60" w:rsidRDefault="00BE3102">
            <w:r>
              <w:rPr>
                <w:b/>
                <w:bCs/>
                <w:color w:val="FFFFFF"/>
                <w:sz w:val="20"/>
                <w:szCs w:val="20"/>
              </w:rPr>
              <w:t>Metric</w:t>
            </w:r>
          </w:p>
        </w:tc>
        <w:tc>
          <w:tcPr>
            <w:tcW w:w="4680" w:type="dxa"/>
            <w:tcBorders>
              <w:top w:val="single" w:sz="1" w:space="0" w:color="D1D5DB"/>
              <w:left w:val="single" w:sz="1" w:space="0" w:color="D1D5DB"/>
              <w:bottom w:val="single" w:sz="1" w:space="0" w:color="D1D5DB"/>
              <w:right w:val="single" w:sz="1" w:space="0" w:color="D1D5DB"/>
            </w:tcBorders>
            <w:shd w:val="clear" w:color="auto" w:fill="0F2044"/>
            <w:tcMar>
              <w:top w:w="100" w:type="dxa"/>
              <w:left w:w="140" w:type="dxa"/>
              <w:bottom w:w="100" w:type="dxa"/>
              <w:right w:w="140" w:type="dxa"/>
            </w:tcMar>
          </w:tcPr>
          <w:p w:rsidR="00865D60" w:rsidRDefault="00BE3102">
            <w:r>
              <w:rPr>
                <w:b/>
                <w:bCs/>
                <w:color w:val="FFFFFF"/>
                <w:sz w:val="20"/>
                <w:szCs w:val="20"/>
              </w:rPr>
              <w:t>Value</w:t>
            </w:r>
          </w:p>
        </w:tc>
      </w:tr>
      <w:tr w:rsidR="00865D60">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Vessels</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10,000</w:t>
            </w:r>
          </w:p>
        </w:tc>
      </w:tr>
      <w:tr w:rsidR="00865D60">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Message frequency</w:t>
            </w:r>
          </w:p>
        </w:tc>
        <w:tc>
          <w:tcPr>
            <w:tcW w:w="468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10 msgs/sec per vessel</w:t>
            </w:r>
          </w:p>
        </w:tc>
      </w:tr>
      <w:tr w:rsidR="00865D60">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Rows per day</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8.64 billion</w:t>
            </w:r>
          </w:p>
        </w:tc>
      </w:tr>
      <w:tr w:rsidR="00865D60">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Rows per month</w:t>
            </w:r>
          </w:p>
        </w:tc>
        <w:tc>
          <w:tcPr>
            <w:tcW w:w="468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~259 billion</w:t>
            </w:r>
          </w:p>
        </w:tc>
      </w:tr>
      <w:tr w:rsidR="00865D60">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Storage in Postgres forever (1 year)</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~150TB = $31,500/month</w:t>
            </w:r>
          </w:p>
        </w:tc>
      </w:tr>
      <w:tr w:rsidR="00865D60">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Storage with hot/cold tiering (1 year)</w:t>
            </w:r>
          </w:p>
        </w:tc>
        <w:tc>
          <w:tcPr>
            <w:tcW w:w="468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~2.4GB hot + 20TB cold = ~$450/month</w:t>
            </w:r>
          </w:p>
        </w:tc>
      </w:tr>
      <w:tr w:rsidR="00865D60">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Monthly saving at 10k vessels</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~$31,050/month</w:t>
            </w:r>
          </w:p>
        </w:tc>
      </w:tr>
    </w:tbl>
    <w:p w:rsidR="00865D60" w:rsidRDefault="00865D60"/>
    <w:p w:rsidR="00865D60" w:rsidRDefault="00BE3102">
      <w:pPr>
        <w:pStyle w:val="Heading2"/>
        <w:pBdr>
          <w:bottom w:val="single" w:sz="6" w:space="4" w:color="2563EB"/>
        </w:pBdr>
      </w:pPr>
      <w:r>
        <w:t>6.2 Storage Tiers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5"/>
        <w:gridCol w:w="1728"/>
        <w:gridCol w:w="2147"/>
        <w:gridCol w:w="1583"/>
        <w:gridCol w:w="1747"/>
      </w:tblGrid>
      <w:tr w:rsidR="00865D60">
        <w:tblPrEx>
          <w:tblCellMar>
            <w:top w:w="0" w:type="dxa"/>
            <w:bottom w:w="0" w:type="dxa"/>
          </w:tblCellMar>
        </w:tblPrEx>
        <w:trPr>
          <w:tblHeader/>
        </w:trPr>
        <w:tc>
          <w:tcPr>
            <w:tcW w:w="2200" w:type="dxa"/>
            <w:tcBorders>
              <w:top w:val="single" w:sz="1" w:space="0" w:color="D1D5DB"/>
              <w:left w:val="single" w:sz="1" w:space="0" w:color="D1D5DB"/>
              <w:bottom w:val="single" w:sz="1" w:space="0" w:color="D1D5DB"/>
              <w:right w:val="single" w:sz="1" w:space="0" w:color="D1D5DB"/>
            </w:tcBorders>
            <w:shd w:val="clear" w:color="auto" w:fill="0F2044"/>
            <w:tcMar>
              <w:top w:w="100" w:type="dxa"/>
              <w:left w:w="140" w:type="dxa"/>
              <w:bottom w:w="100" w:type="dxa"/>
              <w:right w:w="140" w:type="dxa"/>
            </w:tcMar>
          </w:tcPr>
          <w:p w:rsidR="00865D60" w:rsidRDefault="00BE3102">
            <w:r>
              <w:rPr>
                <w:b/>
                <w:bCs/>
                <w:color w:val="FFFFFF"/>
                <w:sz w:val="20"/>
                <w:szCs w:val="20"/>
              </w:rPr>
              <w:t>Tier</w:t>
            </w:r>
          </w:p>
        </w:tc>
        <w:tc>
          <w:tcPr>
            <w:tcW w:w="1800" w:type="dxa"/>
            <w:tcBorders>
              <w:top w:val="single" w:sz="1" w:space="0" w:color="D1D5DB"/>
              <w:left w:val="single" w:sz="1" w:space="0" w:color="D1D5DB"/>
              <w:bottom w:val="single" w:sz="1" w:space="0" w:color="D1D5DB"/>
              <w:right w:val="single" w:sz="1" w:space="0" w:color="D1D5DB"/>
            </w:tcBorders>
            <w:shd w:val="clear" w:color="auto" w:fill="0F2044"/>
            <w:tcMar>
              <w:top w:w="100" w:type="dxa"/>
              <w:left w:w="140" w:type="dxa"/>
              <w:bottom w:w="100" w:type="dxa"/>
              <w:right w:w="140" w:type="dxa"/>
            </w:tcMar>
          </w:tcPr>
          <w:p w:rsidR="00865D60" w:rsidRDefault="00BE3102">
            <w:r>
              <w:rPr>
                <w:b/>
                <w:bCs/>
                <w:color w:val="FFFFFF"/>
                <w:sz w:val="20"/>
                <w:szCs w:val="20"/>
              </w:rPr>
              <w:t>Age</w:t>
            </w:r>
          </w:p>
        </w:tc>
        <w:tc>
          <w:tcPr>
            <w:tcW w:w="2200" w:type="dxa"/>
            <w:tcBorders>
              <w:top w:val="single" w:sz="1" w:space="0" w:color="D1D5DB"/>
              <w:left w:val="single" w:sz="1" w:space="0" w:color="D1D5DB"/>
              <w:bottom w:val="single" w:sz="1" w:space="0" w:color="D1D5DB"/>
              <w:right w:val="single" w:sz="1" w:space="0" w:color="D1D5DB"/>
            </w:tcBorders>
            <w:shd w:val="clear" w:color="auto" w:fill="0F2044"/>
            <w:tcMar>
              <w:top w:w="100" w:type="dxa"/>
              <w:left w:w="140" w:type="dxa"/>
              <w:bottom w:w="100" w:type="dxa"/>
              <w:right w:w="140" w:type="dxa"/>
            </w:tcMar>
          </w:tcPr>
          <w:p w:rsidR="00865D60" w:rsidRDefault="00BE3102">
            <w:r>
              <w:rPr>
                <w:b/>
                <w:bCs/>
                <w:color w:val="FFFFFF"/>
                <w:sz w:val="20"/>
                <w:szCs w:val="20"/>
              </w:rPr>
              <w:t>Technology</w:t>
            </w:r>
          </w:p>
        </w:tc>
        <w:tc>
          <w:tcPr>
            <w:tcW w:w="1600" w:type="dxa"/>
            <w:tcBorders>
              <w:top w:val="single" w:sz="1" w:space="0" w:color="D1D5DB"/>
              <w:left w:val="single" w:sz="1" w:space="0" w:color="D1D5DB"/>
              <w:bottom w:val="single" w:sz="1" w:space="0" w:color="D1D5DB"/>
              <w:right w:val="single" w:sz="1" w:space="0" w:color="D1D5DB"/>
            </w:tcBorders>
            <w:shd w:val="clear" w:color="auto" w:fill="0F2044"/>
            <w:tcMar>
              <w:top w:w="100" w:type="dxa"/>
              <w:left w:w="140" w:type="dxa"/>
              <w:bottom w:w="100" w:type="dxa"/>
              <w:right w:w="140" w:type="dxa"/>
            </w:tcMar>
          </w:tcPr>
          <w:p w:rsidR="00865D60" w:rsidRDefault="00BE3102">
            <w:r>
              <w:rPr>
                <w:b/>
                <w:bCs/>
                <w:color w:val="FFFFFF"/>
                <w:sz w:val="20"/>
                <w:szCs w:val="20"/>
              </w:rPr>
              <w:t>Query Speed</w:t>
            </w:r>
          </w:p>
        </w:tc>
        <w:tc>
          <w:tcPr>
            <w:tcW w:w="1560" w:type="dxa"/>
            <w:tcBorders>
              <w:top w:val="single" w:sz="1" w:space="0" w:color="D1D5DB"/>
              <w:left w:val="single" w:sz="1" w:space="0" w:color="D1D5DB"/>
              <w:bottom w:val="single" w:sz="1" w:space="0" w:color="D1D5DB"/>
              <w:right w:val="single" w:sz="1" w:space="0" w:color="D1D5DB"/>
            </w:tcBorders>
            <w:shd w:val="clear" w:color="auto" w:fill="0F2044"/>
            <w:tcMar>
              <w:top w:w="100" w:type="dxa"/>
              <w:left w:w="140" w:type="dxa"/>
              <w:bottom w:w="100" w:type="dxa"/>
              <w:right w:w="140" w:type="dxa"/>
            </w:tcMar>
          </w:tcPr>
          <w:p w:rsidR="00865D60" w:rsidRDefault="00BE3102">
            <w:r>
              <w:rPr>
                <w:b/>
                <w:bCs/>
                <w:color w:val="FFFFFF"/>
                <w:sz w:val="20"/>
                <w:szCs w:val="20"/>
              </w:rPr>
              <w:t>Cost/GB/month</w:t>
            </w:r>
          </w:p>
        </w:tc>
      </w:tr>
      <w:tr w:rsidR="00865D60">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Hot — uncompressed</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0–7 days</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TimescaleDB</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Milliseconds</w:t>
            </w:r>
          </w:p>
        </w:tc>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$0.21</w:t>
            </w:r>
          </w:p>
        </w:tc>
      </w:tr>
      <w:tr w:rsidR="00865D60">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Hot — compressed</w:t>
            </w:r>
          </w:p>
        </w:tc>
        <w:tc>
          <w:tcPr>
            <w:tcW w:w="18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7–90 days</w:t>
            </w:r>
          </w:p>
        </w:tc>
        <w:tc>
          <w:tcPr>
            <w:tcW w:w="22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TimescaleDB (columnar)</w:t>
            </w:r>
          </w:p>
        </w:tc>
        <w:tc>
          <w:tcPr>
            <w:tcW w:w="16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Milliseconds</w:t>
            </w:r>
          </w:p>
        </w:tc>
        <w:tc>
          <w:tcPr>
            <w:tcW w:w="156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~$0.01</w:t>
            </w:r>
          </w:p>
        </w:tc>
      </w:tr>
      <w:tr w:rsidR="00865D60">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Warm — Parquet</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90 days–1 year</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DO Spaces / S3 Standard</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2–5 seconds</w:t>
            </w:r>
          </w:p>
        </w:tc>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$0.02</w:t>
            </w:r>
          </w:p>
        </w:tc>
      </w:tr>
      <w:tr w:rsidR="00865D60">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Cold — Parquet archived</w:t>
            </w:r>
          </w:p>
        </w:tc>
        <w:tc>
          <w:tcPr>
            <w:tcW w:w="18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1 year+</w:t>
            </w:r>
          </w:p>
        </w:tc>
        <w:tc>
          <w:tcPr>
            <w:tcW w:w="22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S3 Glacier</w:t>
            </w:r>
          </w:p>
        </w:tc>
        <w:tc>
          <w:tcPr>
            <w:tcW w:w="16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5–15 seconds</w:t>
            </w:r>
          </w:p>
        </w:tc>
        <w:tc>
          <w:tcPr>
            <w:tcW w:w="156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$0.004</w:t>
            </w:r>
          </w:p>
        </w:tc>
      </w:tr>
    </w:tbl>
    <w:p w:rsidR="00865D60" w:rsidRDefault="00865D60"/>
    <w:p w:rsidR="00865D60" w:rsidRDefault="00BE3102">
      <w:pPr>
        <w:pStyle w:val="Heading2"/>
        <w:pBdr>
          <w:bottom w:val="single" w:sz="6" w:space="4" w:color="2563EB"/>
        </w:pBdr>
      </w:pPr>
      <w:r>
        <w:t>6.3 What is Parquet?</w:t>
      </w:r>
    </w:p>
    <w:p w:rsidR="00865D60" w:rsidRDefault="00BE3102">
      <w:pPr>
        <w:spacing w:before="80" w:after="80"/>
      </w:pPr>
      <w:r>
        <w:t>Parquet is a columnar file format for storing tabular data. Unlike CSV which stores data row by row, Parquet stores each column separately. When a query requests average fuel consumption, Parquet reads only the fuel column and skips all others. For analyti</w:t>
      </w:r>
      <w:r>
        <w:t>cal queries on billions of rows, this makes the difference between seconds and hours.</w:t>
      </w:r>
    </w:p>
    <w:p w:rsidR="00865D60" w:rsidRDefault="00865D60"/>
    <w:p w:rsidR="00865D60" w:rsidRDefault="00BE3102">
      <w:pPr>
        <w:spacing w:before="80" w:after="80"/>
      </w:pPr>
      <w:r>
        <w:t>Parquet files are stored on object storage (DO Spaces or S3) in a partitioned folder structure. This structure means a query for one vessel in one month only touches one file — not a full table scan.</w:t>
      </w:r>
    </w:p>
    <w:p w:rsidR="00865D60" w:rsidRDefault="00865D6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65D60">
        <w:tblPrEx>
          <w:tblCellMar>
            <w:top w:w="0" w:type="dxa"/>
            <w:bottom w:w="0" w:type="dxa"/>
          </w:tblCellMar>
        </w:tblPrEx>
        <w:tc>
          <w:tcPr>
            <w:tcW w:w="9360" w:type="dxa"/>
            <w:tcBorders>
              <w:top w:val="single" w:sz="1" w:space="0" w:color="334155"/>
              <w:left w:val="single" w:sz="1" w:space="0" w:color="334155"/>
              <w:bottom w:val="single" w:sz="1" w:space="0" w:color="334155"/>
              <w:right w:val="single" w:sz="1" w:space="0" w:color="334155"/>
            </w:tcBorders>
            <w:shd w:val="clear" w:color="auto" w:fill="0F172A"/>
            <w:tcMar>
              <w:top w:w="140" w:type="dxa"/>
              <w:left w:w="200" w:type="dxa"/>
              <w:bottom w:w="140" w:type="dxa"/>
              <w:right w:w="200" w:type="dxa"/>
            </w:tcMar>
          </w:tcPr>
          <w:p w:rsidR="00865D60" w:rsidRDefault="00BE3102">
            <w:r>
              <w:rPr>
                <w:rFonts w:ascii="Courier New" w:eastAsia="Courier New" w:hAnsi="Courier New" w:cs="Courier New"/>
                <w:color w:val="7DD3FC"/>
                <w:sz w:val="18"/>
                <w:szCs w:val="18"/>
              </w:rPr>
              <w:t>vessel-cold-storage/</w:t>
            </w:r>
          </w:p>
          <w:p w:rsidR="00865D60" w:rsidRDefault="00BE3102">
            <w:r>
              <w:rPr>
                <w:rFonts w:ascii="Courier New" w:eastAsia="Courier New" w:hAnsi="Courier New" w:cs="Courier New"/>
                <w:color w:val="7DD3FC"/>
                <w:sz w:val="18"/>
                <w:szCs w:val="18"/>
              </w:rPr>
              <w:t>├── client_id=1/</w:t>
            </w:r>
          </w:p>
          <w:p w:rsidR="00865D60" w:rsidRDefault="00BE3102">
            <w:r>
              <w:rPr>
                <w:rFonts w:ascii="Courier New" w:eastAsia="Courier New" w:hAnsi="Courier New" w:cs="Courier New"/>
                <w:color w:val="7DD3FC"/>
                <w:sz w:val="18"/>
                <w:szCs w:val="18"/>
              </w:rPr>
              <w:t>│   ├── vessel_id</w:t>
            </w:r>
            <w:r>
              <w:rPr>
                <w:rFonts w:ascii="Courier New" w:eastAsia="Courier New" w:hAnsi="Courier New" w:cs="Courier New"/>
                <w:color w:val="7DD3FC"/>
                <w:sz w:val="18"/>
                <w:szCs w:val="18"/>
              </w:rPr>
              <w:t>=101/</w:t>
            </w:r>
          </w:p>
          <w:p w:rsidR="00865D60" w:rsidRDefault="00BE3102">
            <w:r>
              <w:rPr>
                <w:rFonts w:ascii="Courier New" w:eastAsia="Courier New" w:hAnsi="Courier New" w:cs="Courier New"/>
                <w:color w:val="7DD3FC"/>
                <w:sz w:val="18"/>
                <w:szCs w:val="18"/>
              </w:rPr>
              <w:t>│   │   ├── year=2024/month=09/data.parquet   ← 2.6M rows, ~50MB compressed</w:t>
            </w:r>
          </w:p>
          <w:p w:rsidR="00865D60" w:rsidRDefault="00BE3102">
            <w:r>
              <w:rPr>
                <w:rFonts w:ascii="Courier New" w:eastAsia="Courier New" w:hAnsi="Courier New" w:cs="Courier New"/>
                <w:color w:val="7DD3FC"/>
                <w:sz w:val="18"/>
                <w:szCs w:val="18"/>
              </w:rPr>
              <w:t>│   │   ├── year=2024/month=10/data.parquet</w:t>
            </w:r>
          </w:p>
          <w:p w:rsidR="00865D60" w:rsidRDefault="00BE3102">
            <w:r>
              <w:rPr>
                <w:rFonts w:ascii="Courier New" w:eastAsia="Courier New" w:hAnsi="Courier New" w:cs="Courier New"/>
                <w:color w:val="7DD3FC"/>
                <w:sz w:val="18"/>
                <w:szCs w:val="18"/>
              </w:rPr>
              <w:t>│   │   └── year=2024/month=11/data.parquet</w:t>
            </w:r>
          </w:p>
          <w:p w:rsidR="00865D60" w:rsidRDefault="00BE3102">
            <w:r>
              <w:rPr>
                <w:rFonts w:ascii="Courier New" w:eastAsia="Courier New" w:hAnsi="Courier New" w:cs="Courier New"/>
                <w:color w:val="7DD3FC"/>
                <w:sz w:val="18"/>
                <w:szCs w:val="18"/>
              </w:rPr>
              <w:t>│   └── vessel_id=102/</w:t>
            </w:r>
          </w:p>
          <w:p w:rsidR="00865D60" w:rsidRDefault="00BE3102">
            <w:r>
              <w:rPr>
                <w:rFonts w:ascii="Courier New" w:eastAsia="Courier New" w:hAnsi="Courier New" w:cs="Courier New"/>
                <w:color w:val="7DD3FC"/>
                <w:sz w:val="18"/>
                <w:szCs w:val="18"/>
              </w:rPr>
              <w:t>│       └── ...</w:t>
            </w:r>
          </w:p>
          <w:p w:rsidR="00865D60" w:rsidRDefault="00BE3102">
            <w:r>
              <w:rPr>
                <w:rFonts w:ascii="Courier New" w:eastAsia="Courier New" w:hAnsi="Courier New" w:cs="Courier New"/>
                <w:color w:val="7DD3FC"/>
                <w:sz w:val="18"/>
                <w:szCs w:val="18"/>
              </w:rPr>
              <w:t>└── client_id=2/</w:t>
            </w:r>
          </w:p>
          <w:p w:rsidR="00865D60" w:rsidRDefault="00BE3102">
            <w:r>
              <w:rPr>
                <w:rFonts w:ascii="Courier New" w:eastAsia="Courier New" w:hAnsi="Courier New" w:cs="Courier New"/>
                <w:color w:val="7DD3FC"/>
                <w:sz w:val="18"/>
                <w:szCs w:val="18"/>
              </w:rPr>
              <w:t xml:space="preserve">    └── ...</w:t>
            </w:r>
          </w:p>
        </w:tc>
      </w:tr>
    </w:tbl>
    <w:p w:rsidR="00865D60" w:rsidRDefault="00865D60"/>
    <w:p w:rsidR="00865D60" w:rsidRDefault="00BE3102">
      <w:pPr>
        <w:pStyle w:val="Heading2"/>
        <w:pBdr>
          <w:bottom w:val="single" w:sz="6" w:space="4" w:color="2563EB"/>
        </w:pBdr>
      </w:pPr>
      <w:r>
        <w:t>6.4 DO Spaces vs AWS S3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800"/>
        <w:gridCol w:w="3560"/>
      </w:tblGrid>
      <w:tr w:rsidR="00865D60">
        <w:tblPrEx>
          <w:tblCellMar>
            <w:top w:w="0" w:type="dxa"/>
            <w:bottom w:w="0" w:type="dxa"/>
          </w:tblCellMar>
        </w:tblPrEx>
        <w:trPr>
          <w:tblHeader/>
        </w:trPr>
        <w:tc>
          <w:tcPr>
            <w:tcW w:w="3000" w:type="dxa"/>
            <w:tcBorders>
              <w:top w:val="single" w:sz="1" w:space="0" w:color="D1D5DB"/>
              <w:left w:val="single" w:sz="1" w:space="0" w:color="D1D5DB"/>
              <w:bottom w:val="single" w:sz="1" w:space="0" w:color="D1D5DB"/>
              <w:right w:val="single" w:sz="1" w:space="0" w:color="D1D5DB"/>
            </w:tcBorders>
            <w:shd w:val="clear" w:color="auto" w:fill="0F2044"/>
            <w:tcMar>
              <w:top w:w="100" w:type="dxa"/>
              <w:left w:w="140" w:type="dxa"/>
              <w:bottom w:w="100" w:type="dxa"/>
              <w:right w:w="140" w:type="dxa"/>
            </w:tcMar>
          </w:tcPr>
          <w:p w:rsidR="00865D60" w:rsidRDefault="00BE3102">
            <w:r>
              <w:rPr>
                <w:b/>
                <w:bCs/>
                <w:color w:val="FFFFFF"/>
                <w:sz w:val="20"/>
                <w:szCs w:val="20"/>
              </w:rPr>
              <w:t>Feature</w:t>
            </w:r>
          </w:p>
        </w:tc>
        <w:tc>
          <w:tcPr>
            <w:tcW w:w="2800" w:type="dxa"/>
            <w:tcBorders>
              <w:top w:val="single" w:sz="1" w:space="0" w:color="D1D5DB"/>
              <w:left w:val="single" w:sz="1" w:space="0" w:color="D1D5DB"/>
              <w:bottom w:val="single" w:sz="1" w:space="0" w:color="D1D5DB"/>
              <w:right w:val="single" w:sz="1" w:space="0" w:color="D1D5DB"/>
            </w:tcBorders>
            <w:shd w:val="clear" w:color="auto" w:fill="0F2044"/>
            <w:tcMar>
              <w:top w:w="100" w:type="dxa"/>
              <w:left w:w="140" w:type="dxa"/>
              <w:bottom w:w="100" w:type="dxa"/>
              <w:right w:w="140" w:type="dxa"/>
            </w:tcMar>
          </w:tcPr>
          <w:p w:rsidR="00865D60" w:rsidRDefault="00BE3102">
            <w:r>
              <w:rPr>
                <w:b/>
                <w:bCs/>
                <w:color w:val="FFFFFF"/>
                <w:sz w:val="20"/>
                <w:szCs w:val="20"/>
              </w:rPr>
              <w:t>DO Spaces</w:t>
            </w:r>
          </w:p>
        </w:tc>
        <w:tc>
          <w:tcPr>
            <w:tcW w:w="3560" w:type="dxa"/>
            <w:tcBorders>
              <w:top w:val="single" w:sz="1" w:space="0" w:color="D1D5DB"/>
              <w:left w:val="single" w:sz="1" w:space="0" w:color="D1D5DB"/>
              <w:bottom w:val="single" w:sz="1" w:space="0" w:color="D1D5DB"/>
              <w:right w:val="single" w:sz="1" w:space="0" w:color="D1D5DB"/>
            </w:tcBorders>
            <w:shd w:val="clear" w:color="auto" w:fill="0F2044"/>
            <w:tcMar>
              <w:top w:w="100" w:type="dxa"/>
              <w:left w:w="140" w:type="dxa"/>
              <w:bottom w:w="100" w:type="dxa"/>
              <w:right w:w="140" w:type="dxa"/>
            </w:tcMar>
          </w:tcPr>
          <w:p w:rsidR="00865D60" w:rsidRDefault="00BE3102">
            <w:r>
              <w:rPr>
                <w:b/>
                <w:bCs/>
                <w:color w:val="FFFFFF"/>
                <w:sz w:val="20"/>
                <w:szCs w:val="20"/>
              </w:rPr>
              <w:t>AWS S3</w:t>
            </w:r>
          </w:p>
        </w:tc>
      </w:tr>
      <w:tr w:rsidR="00865D60">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Price/GB storage</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$0.02/GB</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$0.023/GB</w:t>
            </w:r>
          </w:p>
        </w:tc>
      </w:tr>
      <w:tr w:rsidR="00865D60">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Reliability</w:t>
            </w:r>
          </w:p>
        </w:tc>
        <w:tc>
          <w:tcPr>
            <w:tcW w:w="28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99.95%</w:t>
            </w:r>
          </w:p>
        </w:tc>
        <w:tc>
          <w:tcPr>
            <w:tcW w:w="356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99.999999999% (11 nines)</w:t>
            </w:r>
          </w:p>
        </w:tc>
      </w:tr>
      <w:tr w:rsidR="00865D60">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Native analytics</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None</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Athena (SQL on Parquet), Glue (auto-catalog)</w:t>
            </w:r>
          </w:p>
        </w:tc>
      </w:tr>
      <w:tr w:rsidR="00865D60">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Automatic lifecycle tiering</w:t>
            </w:r>
          </w:p>
        </w:tc>
        <w:tc>
          <w:tcPr>
            <w:tcW w:w="28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Basic</w:t>
            </w:r>
          </w:p>
        </w:tc>
        <w:tc>
          <w:tcPr>
            <w:tcW w:w="356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Advanced — auto-moves to IA, Glacier, Deep Archive</w:t>
            </w:r>
          </w:p>
        </w:tc>
      </w:tr>
      <w:tr w:rsidR="00865D60">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API compatibility</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S3-compatible</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Native S3</w:t>
            </w:r>
          </w:p>
        </w:tc>
      </w:tr>
      <w:tr w:rsidR="00865D60">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Migration effort</w:t>
            </w:r>
          </w:p>
        </w:tc>
        <w:tc>
          <w:tcPr>
            <w:tcW w:w="28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N/A</w:t>
            </w:r>
          </w:p>
        </w:tc>
        <w:tc>
          <w:tcPr>
            <w:tcW w:w="356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Change 3 lines of config — same boto3 API</w:t>
            </w:r>
          </w:p>
        </w:tc>
      </w:tr>
      <w:tr w:rsidR="00865D60">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Recommended stage</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Phase 1–3 (&lt; 500 vessels)</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Phase 3+ (500+ vessels, analytics features)</w:t>
            </w:r>
          </w:p>
        </w:tc>
      </w:tr>
    </w:tbl>
    <w:p w:rsidR="00865D60" w:rsidRDefault="00865D60"/>
    <w:p w:rsidR="00865D60" w:rsidRDefault="00BE3102">
      <w:pPr>
        <w:pStyle w:val="Heading2"/>
        <w:pBdr>
          <w:bottom w:val="single" w:sz="6" w:space="4" w:color="2563EB"/>
        </w:pBdr>
      </w:pPr>
      <w:r>
        <w:t>6.5 Querying Historical Data — User Experience</w:t>
      </w:r>
    </w:p>
    <w:p w:rsidR="00865D60" w:rsidRDefault="00BE3102">
      <w:pPr>
        <w:spacing w:before="80" w:after="80"/>
      </w:pPr>
      <w:r>
        <w:t>When a user requests data older than 90 days, the API performs a transparent hot/cold merge. The user sees one continuous chart with no awareness of the underlying storage split.</w:t>
      </w:r>
    </w:p>
    <w:p w:rsidR="00865D60" w:rsidRDefault="00865D6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65D60">
        <w:tblPrEx>
          <w:tblCellMar>
            <w:top w:w="0" w:type="dxa"/>
            <w:bottom w:w="0" w:type="dxa"/>
          </w:tblCellMar>
        </w:tblPrEx>
        <w:tc>
          <w:tcPr>
            <w:tcW w:w="9360" w:type="dxa"/>
            <w:tcBorders>
              <w:top w:val="single" w:sz="1" w:space="0" w:color="334155"/>
              <w:left w:val="single" w:sz="1" w:space="0" w:color="334155"/>
              <w:bottom w:val="single" w:sz="1" w:space="0" w:color="334155"/>
              <w:right w:val="single" w:sz="1" w:space="0" w:color="334155"/>
            </w:tcBorders>
            <w:shd w:val="clear" w:color="auto" w:fill="0F172A"/>
            <w:tcMar>
              <w:top w:w="140" w:type="dxa"/>
              <w:left w:w="200" w:type="dxa"/>
              <w:bottom w:w="140" w:type="dxa"/>
              <w:right w:w="200" w:type="dxa"/>
            </w:tcMar>
          </w:tcPr>
          <w:p w:rsidR="00865D60" w:rsidRDefault="00BE3102">
            <w:r>
              <w:rPr>
                <w:rFonts w:ascii="Courier New" w:eastAsia="Courier New" w:hAnsi="Courier New" w:cs="Courier New"/>
                <w:color w:val="7DD3FC"/>
                <w:sz w:val="18"/>
                <w:szCs w:val="18"/>
              </w:rPr>
              <w:t>async function getVesselData(</w:t>
            </w:r>
            <w:r>
              <w:rPr>
                <w:rFonts w:ascii="Courier New" w:eastAsia="Courier New" w:hAnsi="Courier New" w:cs="Courier New"/>
                <w:color w:val="7DD3FC"/>
                <w:sz w:val="18"/>
                <w:szCs w:val="18"/>
              </w:rPr>
              <w:t>vesselId, clientId, fromDate, toDate) {</w:t>
            </w:r>
          </w:p>
          <w:p w:rsidR="00865D60" w:rsidRDefault="00BE3102">
            <w:r>
              <w:rPr>
                <w:rFonts w:ascii="Courier New" w:eastAsia="Courier New" w:hAnsi="Courier New" w:cs="Courier New"/>
                <w:color w:val="7DD3FC"/>
                <w:sz w:val="18"/>
                <w:szCs w:val="18"/>
              </w:rPr>
              <w:t xml:space="preserve">  const HOT_CUTOFF = dayjs().subtract(90, "days");</w:t>
            </w:r>
          </w:p>
          <w:p w:rsidR="00865D60" w:rsidRDefault="00BE3102">
            <w:r>
              <w:rPr>
                <w:rFonts w:ascii="Courier New" w:eastAsia="Courier New" w:hAnsi="Courier New" w:cs="Courier New"/>
                <w:color w:val="7DD3FC"/>
                <w:sz w:val="18"/>
                <w:szCs w:val="18"/>
              </w:rPr>
              <w:t xml:space="preserve">  const results = [];</w:t>
            </w:r>
          </w:p>
          <w:p w:rsidR="00865D60" w:rsidRDefault="00BE3102">
            <w:r>
              <w:rPr>
                <w:rFonts w:ascii="Courier New" w:eastAsia="Courier New" w:hAnsi="Courier New" w:cs="Courier New"/>
                <w:color w:val="7DD3FC"/>
                <w:sz w:val="18"/>
                <w:szCs w:val="18"/>
              </w:rPr>
              <w:t xml:space="preserve"> </w:t>
            </w:r>
          </w:p>
          <w:p w:rsidR="00865D60" w:rsidRDefault="00BE3102">
            <w:r>
              <w:rPr>
                <w:rFonts w:ascii="Courier New" w:eastAsia="Courier New" w:hAnsi="Courier New" w:cs="Courier New"/>
                <w:color w:val="7DD3FC"/>
                <w:sz w:val="18"/>
                <w:szCs w:val="18"/>
              </w:rPr>
              <w:t xml:space="preserve">  // Hot path — TimescaleDB (milliseconds)</w:t>
            </w:r>
          </w:p>
          <w:p w:rsidR="00865D60" w:rsidRDefault="00BE3102">
            <w:r>
              <w:rPr>
                <w:rFonts w:ascii="Courier New" w:eastAsia="Courier New" w:hAnsi="Courier New" w:cs="Courier New"/>
                <w:color w:val="7DD3FC"/>
                <w:sz w:val="18"/>
                <w:szCs w:val="18"/>
              </w:rPr>
              <w:t xml:space="preserve">  if (toDate &gt; HOT_CUTOFF) {</w:t>
            </w:r>
          </w:p>
          <w:p w:rsidR="00865D60" w:rsidRDefault="00BE3102">
            <w:r>
              <w:rPr>
                <w:rFonts w:ascii="Courier New" w:eastAsia="Courier New" w:hAnsi="Courier New" w:cs="Courier New"/>
                <w:color w:val="7DD3FC"/>
                <w:sz w:val="18"/>
                <w:szCs w:val="18"/>
              </w:rPr>
              <w:t xml:space="preserve">    const hot = await timescaleDB.query(`</w:t>
            </w:r>
          </w:p>
          <w:p w:rsidR="00865D60" w:rsidRDefault="00BE3102">
            <w:r>
              <w:rPr>
                <w:rFonts w:ascii="Courier New" w:eastAsia="Courier New" w:hAnsi="Courier New" w:cs="Courier New"/>
                <w:color w:val="7DD3FC"/>
                <w:sz w:val="18"/>
                <w:szCs w:val="18"/>
              </w:rPr>
              <w:t xml:space="preserve">      SELECT recorded_at, fuel_kg_hr, rpm, speed_knots, raw_payload</w:t>
            </w:r>
          </w:p>
          <w:p w:rsidR="00865D60" w:rsidRDefault="00BE3102">
            <w:r>
              <w:rPr>
                <w:rFonts w:ascii="Courier New" w:eastAsia="Courier New" w:hAnsi="Courier New" w:cs="Courier New"/>
                <w:color w:val="7DD3FC"/>
                <w:sz w:val="18"/>
                <w:szCs w:val="18"/>
              </w:rPr>
              <w:t xml:space="preserve">      FROM unified_data</w:t>
            </w:r>
          </w:p>
          <w:p w:rsidR="00865D60" w:rsidRDefault="00BE3102">
            <w:r>
              <w:rPr>
                <w:rFonts w:ascii="Courier New" w:eastAsia="Courier New" w:hAnsi="Courier New" w:cs="Courier New"/>
                <w:color w:val="7DD3FC"/>
                <w:sz w:val="18"/>
                <w:szCs w:val="18"/>
              </w:rPr>
              <w:t xml:space="preserve">      WHERE vessel_id = $1 AND client_id = $2</w:t>
            </w:r>
          </w:p>
          <w:p w:rsidR="00865D60" w:rsidRDefault="00BE3102">
            <w:r>
              <w:rPr>
                <w:rFonts w:ascii="Courier New" w:eastAsia="Courier New" w:hAnsi="Courier New" w:cs="Courier New"/>
                <w:color w:val="7DD3FC"/>
                <w:sz w:val="18"/>
                <w:szCs w:val="18"/>
              </w:rPr>
              <w:t xml:space="preserve">      AND recorded_at BETWEEN $3 AND $4</w:t>
            </w:r>
          </w:p>
          <w:p w:rsidR="00865D60" w:rsidRDefault="00BE3102">
            <w:r>
              <w:rPr>
                <w:rFonts w:ascii="Courier New" w:eastAsia="Courier New" w:hAnsi="Courier New" w:cs="Courier New"/>
                <w:color w:val="7DD3FC"/>
                <w:sz w:val="18"/>
                <w:szCs w:val="18"/>
              </w:rPr>
              <w:t xml:space="preserve">    `, [vesselId, clientId, Math.max(fromDate, HOT_CUTOFF), toDate]);</w:t>
            </w:r>
          </w:p>
          <w:p w:rsidR="00865D60" w:rsidRDefault="00BE3102">
            <w:r>
              <w:rPr>
                <w:rFonts w:ascii="Courier New" w:eastAsia="Courier New" w:hAnsi="Courier New" w:cs="Courier New"/>
                <w:color w:val="7DD3FC"/>
                <w:sz w:val="18"/>
                <w:szCs w:val="18"/>
              </w:rPr>
              <w:t xml:space="preserve">    resu</w:t>
            </w:r>
            <w:r>
              <w:rPr>
                <w:rFonts w:ascii="Courier New" w:eastAsia="Courier New" w:hAnsi="Courier New" w:cs="Courier New"/>
                <w:color w:val="7DD3FC"/>
                <w:sz w:val="18"/>
                <w:szCs w:val="18"/>
              </w:rPr>
              <w:t>lts.push(...hot);</w:t>
            </w:r>
          </w:p>
          <w:p w:rsidR="00865D60" w:rsidRDefault="00BE3102">
            <w:r>
              <w:rPr>
                <w:rFonts w:ascii="Courier New" w:eastAsia="Courier New" w:hAnsi="Courier New" w:cs="Courier New"/>
                <w:color w:val="7DD3FC"/>
                <w:sz w:val="18"/>
                <w:szCs w:val="18"/>
              </w:rPr>
              <w:t xml:space="preserve">  }</w:t>
            </w:r>
          </w:p>
          <w:p w:rsidR="00865D60" w:rsidRDefault="00BE3102">
            <w:r>
              <w:rPr>
                <w:rFonts w:ascii="Courier New" w:eastAsia="Courier New" w:hAnsi="Courier New" w:cs="Courier New"/>
                <w:color w:val="7DD3FC"/>
                <w:sz w:val="18"/>
                <w:szCs w:val="18"/>
              </w:rPr>
              <w:t xml:space="preserve"> </w:t>
            </w:r>
          </w:p>
          <w:p w:rsidR="00865D60" w:rsidRDefault="00BE3102">
            <w:r>
              <w:rPr>
                <w:rFonts w:ascii="Courier New" w:eastAsia="Courier New" w:hAnsi="Courier New" w:cs="Courier New"/>
                <w:color w:val="7DD3FC"/>
                <w:sz w:val="18"/>
                <w:szCs w:val="18"/>
              </w:rPr>
              <w:t xml:space="preserve">  // Cold path — Parquet on S3 (2–5 seconds)</w:t>
            </w:r>
          </w:p>
          <w:p w:rsidR="00865D60" w:rsidRDefault="00BE3102">
            <w:r>
              <w:rPr>
                <w:rFonts w:ascii="Courier New" w:eastAsia="Courier New" w:hAnsi="Courier New" w:cs="Courier New"/>
                <w:color w:val="7DD3FC"/>
                <w:sz w:val="18"/>
                <w:szCs w:val="18"/>
              </w:rPr>
              <w:t xml:space="preserve">  if (fromDate &lt; HOT_CUTOFF) {</w:t>
            </w:r>
          </w:p>
          <w:p w:rsidR="00865D60" w:rsidRDefault="00BE3102">
            <w:r>
              <w:rPr>
                <w:rFonts w:ascii="Courier New" w:eastAsia="Courier New" w:hAnsi="Courier New" w:cs="Courier New"/>
                <w:color w:val="7DD3FC"/>
                <w:sz w:val="18"/>
                <w:szCs w:val="18"/>
              </w:rPr>
              <w:t xml:space="preserve">    const cold = await duckdb.query(`</w:t>
            </w:r>
          </w:p>
          <w:p w:rsidR="00865D60" w:rsidRDefault="00BE3102">
            <w:r>
              <w:rPr>
                <w:rFonts w:ascii="Courier New" w:eastAsia="Courier New" w:hAnsi="Courier New" w:cs="Courier New"/>
                <w:color w:val="7DD3FC"/>
                <w:sz w:val="18"/>
                <w:szCs w:val="18"/>
              </w:rPr>
              <w:t xml:space="preserve">      SELECT recorded_at, fuel_kg_hr, rpm, speed_knots</w:t>
            </w:r>
          </w:p>
          <w:p w:rsidR="00865D60" w:rsidRDefault="00BE3102">
            <w:r>
              <w:rPr>
                <w:rFonts w:ascii="Courier New" w:eastAsia="Courier New" w:hAnsi="Courier New" w:cs="Courier New"/>
                <w:color w:val="7DD3FC"/>
                <w:sz w:val="18"/>
                <w:szCs w:val="18"/>
              </w:rPr>
              <w:t xml:space="preserve">      FROM read_parquet("s3://bucket/client_id=1/vessel_id=101/</w:t>
            </w:r>
            <w:r>
              <w:rPr>
                <w:rFonts w:ascii="Courier New" w:eastAsia="Courier New" w:hAnsi="Courier New" w:cs="Courier New"/>
                <w:color w:val="7DD3FC"/>
                <w:sz w:val="18"/>
                <w:szCs w:val="18"/>
              </w:rPr>
              <w:t>**/*.parquet")</w:t>
            </w:r>
          </w:p>
          <w:p w:rsidR="00865D60" w:rsidRDefault="00BE3102">
            <w:r>
              <w:rPr>
                <w:rFonts w:ascii="Courier New" w:eastAsia="Courier New" w:hAnsi="Courier New" w:cs="Courier New"/>
                <w:color w:val="7DD3FC"/>
                <w:sz w:val="18"/>
                <w:szCs w:val="18"/>
              </w:rPr>
              <w:t xml:space="preserve">      WHERE recorded_at BETWEEN ? AND ?</w:t>
            </w:r>
          </w:p>
          <w:p w:rsidR="00865D60" w:rsidRDefault="00BE3102">
            <w:r>
              <w:rPr>
                <w:rFonts w:ascii="Courier New" w:eastAsia="Courier New" w:hAnsi="Courier New" w:cs="Courier New"/>
                <w:color w:val="7DD3FC"/>
                <w:sz w:val="18"/>
                <w:szCs w:val="18"/>
              </w:rPr>
              <w:t xml:space="preserve">    `, [fromDate, Math.min(toDate, HOT_CUTOFF)]);</w:t>
            </w:r>
          </w:p>
          <w:p w:rsidR="00865D60" w:rsidRDefault="00BE3102">
            <w:r>
              <w:rPr>
                <w:rFonts w:ascii="Courier New" w:eastAsia="Courier New" w:hAnsi="Courier New" w:cs="Courier New"/>
                <w:color w:val="7DD3FC"/>
                <w:sz w:val="18"/>
                <w:szCs w:val="18"/>
              </w:rPr>
              <w:t xml:space="preserve">    results.push(...cold);</w:t>
            </w:r>
          </w:p>
          <w:p w:rsidR="00865D60" w:rsidRDefault="00BE3102">
            <w:r>
              <w:rPr>
                <w:rFonts w:ascii="Courier New" w:eastAsia="Courier New" w:hAnsi="Courier New" w:cs="Courier New"/>
                <w:color w:val="7DD3FC"/>
                <w:sz w:val="18"/>
                <w:szCs w:val="18"/>
              </w:rPr>
              <w:t xml:space="preserve">  }</w:t>
            </w:r>
          </w:p>
          <w:p w:rsidR="00865D60" w:rsidRDefault="00BE3102">
            <w:r>
              <w:rPr>
                <w:rFonts w:ascii="Courier New" w:eastAsia="Courier New" w:hAnsi="Courier New" w:cs="Courier New"/>
                <w:color w:val="7DD3FC"/>
                <w:sz w:val="18"/>
                <w:szCs w:val="18"/>
              </w:rPr>
              <w:t xml:space="preserve"> </w:t>
            </w:r>
          </w:p>
          <w:p w:rsidR="00865D60" w:rsidRDefault="00BE3102">
            <w:r>
              <w:rPr>
                <w:rFonts w:ascii="Courier New" w:eastAsia="Courier New" w:hAnsi="Courier New" w:cs="Courier New"/>
                <w:color w:val="7DD3FC"/>
                <w:sz w:val="18"/>
                <w:szCs w:val="18"/>
              </w:rPr>
              <w:t xml:space="preserve">  // Merged, sorted, returned as one dataset</w:t>
            </w:r>
          </w:p>
          <w:p w:rsidR="00865D60" w:rsidRDefault="00BE3102">
            <w:r>
              <w:rPr>
                <w:rFonts w:ascii="Courier New" w:eastAsia="Courier New" w:hAnsi="Courier New" w:cs="Courier New"/>
                <w:color w:val="7DD3FC"/>
                <w:sz w:val="18"/>
                <w:szCs w:val="18"/>
              </w:rPr>
              <w:t xml:space="preserve">  return results.sort((a, b) =&gt; a.recorded_at - b.recorded_at);</w:t>
            </w:r>
          </w:p>
          <w:p w:rsidR="00865D60" w:rsidRDefault="00BE3102">
            <w:r>
              <w:rPr>
                <w:rFonts w:ascii="Courier New" w:eastAsia="Courier New" w:hAnsi="Courier New" w:cs="Courier New"/>
                <w:color w:val="7DD3FC"/>
                <w:sz w:val="18"/>
                <w:szCs w:val="18"/>
              </w:rPr>
              <w:t>}</w:t>
            </w:r>
          </w:p>
        </w:tc>
      </w:tr>
    </w:tbl>
    <w:p w:rsidR="00865D60" w:rsidRDefault="00BE3102">
      <w:r>
        <w:br w:type="page"/>
      </w:r>
    </w:p>
    <w:p w:rsidR="00865D60" w:rsidRDefault="00BE3102">
      <w:pPr>
        <w:pStyle w:val="Heading1"/>
      </w:pPr>
      <w:r>
        <w:t>7. Scaling Strategy</w:t>
      </w:r>
    </w:p>
    <w:p w:rsidR="00865D60" w:rsidRDefault="00BE3102">
      <w:pPr>
        <w:pStyle w:val="Heading2"/>
        <w:pBdr>
          <w:bottom w:val="single" w:sz="6" w:space="4" w:color="2563EB"/>
        </w:pBdr>
      </w:pPr>
      <w:r>
        <w:t>7.1 What Scales at Each Stage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800"/>
        <w:gridCol w:w="2360"/>
      </w:tblGrid>
      <w:tr w:rsidR="00865D60">
        <w:tblPrEx>
          <w:tblCellMar>
            <w:top w:w="0" w:type="dxa"/>
            <w:bottom w:w="0" w:type="dxa"/>
          </w:tblCellMar>
        </w:tblPrEx>
        <w:trPr>
          <w:tblHeader/>
        </w:trPr>
        <w:tc>
          <w:tcPr>
            <w:tcW w:w="2200" w:type="dxa"/>
            <w:tcBorders>
              <w:top w:val="single" w:sz="1" w:space="0" w:color="D1D5DB"/>
              <w:left w:val="single" w:sz="1" w:space="0" w:color="D1D5DB"/>
              <w:bottom w:val="single" w:sz="1" w:space="0" w:color="D1D5DB"/>
              <w:right w:val="single" w:sz="1" w:space="0" w:color="D1D5DB"/>
            </w:tcBorders>
            <w:shd w:val="clear" w:color="auto" w:fill="0F2044"/>
            <w:tcMar>
              <w:top w:w="100" w:type="dxa"/>
              <w:left w:w="140" w:type="dxa"/>
              <w:bottom w:w="100" w:type="dxa"/>
              <w:right w:w="140" w:type="dxa"/>
            </w:tcMar>
          </w:tcPr>
          <w:p w:rsidR="00865D60" w:rsidRDefault="00BE3102">
            <w:r>
              <w:rPr>
                <w:b/>
                <w:bCs/>
                <w:color w:val="FFFFFF"/>
                <w:sz w:val="20"/>
                <w:szCs w:val="20"/>
              </w:rPr>
              <w:t>Layer</w:t>
            </w:r>
          </w:p>
        </w:tc>
        <w:tc>
          <w:tcPr>
            <w:tcW w:w="4800" w:type="dxa"/>
            <w:tcBorders>
              <w:top w:val="single" w:sz="1" w:space="0" w:color="D1D5DB"/>
              <w:left w:val="single" w:sz="1" w:space="0" w:color="D1D5DB"/>
              <w:bottom w:val="single" w:sz="1" w:space="0" w:color="D1D5DB"/>
              <w:right w:val="single" w:sz="1" w:space="0" w:color="D1D5DB"/>
            </w:tcBorders>
            <w:shd w:val="clear" w:color="auto" w:fill="0F2044"/>
            <w:tcMar>
              <w:top w:w="100" w:type="dxa"/>
              <w:left w:w="140" w:type="dxa"/>
              <w:bottom w:w="100" w:type="dxa"/>
              <w:right w:w="140" w:type="dxa"/>
            </w:tcMar>
          </w:tcPr>
          <w:p w:rsidR="00865D60" w:rsidRDefault="00BE3102">
            <w:r>
              <w:rPr>
                <w:b/>
                <w:bCs/>
                <w:color w:val="FFFFFF"/>
                <w:sz w:val="20"/>
                <w:szCs w:val="20"/>
              </w:rPr>
              <w:t>How It Scales</w:t>
            </w:r>
          </w:p>
        </w:tc>
        <w:tc>
          <w:tcPr>
            <w:tcW w:w="2360" w:type="dxa"/>
            <w:tcBorders>
              <w:top w:val="single" w:sz="1" w:space="0" w:color="D1D5DB"/>
              <w:left w:val="single" w:sz="1" w:space="0" w:color="D1D5DB"/>
              <w:bottom w:val="single" w:sz="1" w:space="0" w:color="D1D5DB"/>
              <w:right w:val="single" w:sz="1" w:space="0" w:color="D1D5DB"/>
            </w:tcBorders>
            <w:shd w:val="clear" w:color="auto" w:fill="0F2044"/>
            <w:tcMar>
              <w:top w:w="100" w:type="dxa"/>
              <w:left w:w="140" w:type="dxa"/>
              <w:bottom w:w="100" w:type="dxa"/>
              <w:right w:w="140" w:type="dxa"/>
            </w:tcMar>
          </w:tcPr>
          <w:p w:rsidR="00865D60" w:rsidRDefault="00BE3102">
            <w:r>
              <w:rPr>
                <w:b/>
                <w:bCs/>
                <w:color w:val="FFFFFF"/>
                <w:sz w:val="20"/>
                <w:szCs w:val="20"/>
              </w:rPr>
              <w:t>When</w:t>
            </w:r>
          </w:p>
        </w:tc>
      </w:tr>
      <w:tr w:rsidR="00865D60">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Kafka ingestion</w:t>
            </w:r>
          </w:p>
        </w:tc>
        <w:tc>
          <w:tcPr>
            <w:tcW w:w="4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Add partitions + add worker instances. Configuration only.</w:t>
            </w:r>
          </w:p>
        </w:tc>
        <w:tc>
          <w:tcPr>
            <w:tcW w:w="23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Any time, zero downtime</w:t>
            </w:r>
          </w:p>
        </w:tc>
      </w:tr>
      <w:tr w:rsidR="00865D60">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Read throughput</w:t>
            </w:r>
          </w:p>
        </w:tc>
        <w:tc>
          <w:tcPr>
            <w:tcW w:w="48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Add read replica nodes to TimescaleDB cluster.</w:t>
            </w:r>
          </w:p>
        </w:tc>
        <w:tc>
          <w:tcPr>
            <w:tcW w:w="236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Phase 2 (heavy dashboard load)</w:t>
            </w:r>
          </w:p>
        </w:tc>
      </w:tr>
      <w:tr w:rsidR="00865D60">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Connection pooling</w:t>
            </w:r>
          </w:p>
        </w:tc>
        <w:tc>
          <w:tcPr>
            <w:tcW w:w="4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PgBouncer in front of Postgres. Multiplexes thousands of app connections.</w:t>
            </w:r>
          </w:p>
        </w:tc>
        <w:tc>
          <w:tcPr>
            <w:tcW w:w="23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Phase 2 (many microservices)</w:t>
            </w:r>
          </w:p>
        </w:tc>
      </w:tr>
      <w:tr w:rsidR="00865D60">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Write throughput</w:t>
            </w:r>
          </w:p>
        </w:tc>
        <w:tc>
          <w:tcPr>
            <w:tcW w:w="48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Citus extension — distribute tables across nodes with one SQL command.</w:t>
            </w:r>
          </w:p>
        </w:tc>
        <w:tc>
          <w:tcPr>
            <w:tcW w:w="236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Phase 4 (approaching write limits)</w:t>
            </w:r>
          </w:p>
        </w:tc>
      </w:tr>
      <w:tr w:rsidR="00865D60">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Storage (hot)</w:t>
            </w:r>
          </w:p>
        </w:tc>
        <w:tc>
          <w:tcPr>
            <w:tcW w:w="4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Vertical scale TimescaleDB RAM. 90-day retention policy keeps size bounded.</w:t>
            </w:r>
          </w:p>
        </w:tc>
        <w:tc>
          <w:tcPr>
            <w:tcW w:w="23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Phase 3 onwards</w:t>
            </w:r>
          </w:p>
        </w:tc>
      </w:tr>
      <w:tr w:rsidR="00865D60">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Storage (cold)</w:t>
            </w:r>
          </w:p>
        </w:tc>
        <w:tc>
          <w:tcPr>
            <w:tcW w:w="48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DO Spaces / S3 scales infinitely. S3 lifecycle tiering reduces cost automatically.</w:t>
            </w:r>
          </w:p>
        </w:tc>
        <w:tc>
          <w:tcPr>
            <w:tcW w:w="236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Phase 3 onwards</w:t>
            </w:r>
          </w:p>
        </w:tc>
      </w:tr>
    </w:tbl>
    <w:p w:rsidR="00865D60" w:rsidRDefault="00865D60"/>
    <w:p w:rsidR="00865D60" w:rsidRDefault="00BE3102">
      <w:pPr>
        <w:pStyle w:val="Heading2"/>
        <w:pBdr>
          <w:bottom w:val="single" w:sz="6" w:space="4" w:color="2563EB"/>
        </w:pBdr>
      </w:pPr>
      <w:r>
        <w:t>7.2 Scaling Phases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400"/>
        <w:gridCol w:w="4500"/>
        <w:gridCol w:w="2060"/>
      </w:tblGrid>
      <w:tr w:rsidR="00865D60">
        <w:tblPrEx>
          <w:tblCellMar>
            <w:top w:w="0" w:type="dxa"/>
            <w:bottom w:w="0" w:type="dxa"/>
          </w:tblCellMar>
        </w:tblPrEx>
        <w:trPr>
          <w:tblHeader/>
        </w:trPr>
        <w:tc>
          <w:tcPr>
            <w:tcW w:w="1400" w:type="dxa"/>
            <w:tcBorders>
              <w:top w:val="single" w:sz="1" w:space="0" w:color="D1D5DB"/>
              <w:left w:val="single" w:sz="1" w:space="0" w:color="D1D5DB"/>
              <w:bottom w:val="single" w:sz="1" w:space="0" w:color="D1D5DB"/>
              <w:right w:val="single" w:sz="1" w:space="0" w:color="D1D5DB"/>
            </w:tcBorders>
            <w:shd w:val="clear" w:color="auto" w:fill="0F2044"/>
            <w:tcMar>
              <w:top w:w="100" w:type="dxa"/>
              <w:left w:w="140" w:type="dxa"/>
              <w:bottom w:w="100" w:type="dxa"/>
              <w:right w:w="140" w:type="dxa"/>
            </w:tcMar>
          </w:tcPr>
          <w:p w:rsidR="00865D60" w:rsidRDefault="00BE3102">
            <w:r>
              <w:rPr>
                <w:b/>
                <w:bCs/>
                <w:color w:val="FFFFFF"/>
                <w:sz w:val="20"/>
                <w:szCs w:val="20"/>
              </w:rPr>
              <w:t>Phase</w:t>
            </w:r>
          </w:p>
        </w:tc>
        <w:tc>
          <w:tcPr>
            <w:tcW w:w="1400" w:type="dxa"/>
            <w:tcBorders>
              <w:top w:val="single" w:sz="1" w:space="0" w:color="D1D5DB"/>
              <w:left w:val="single" w:sz="1" w:space="0" w:color="D1D5DB"/>
              <w:bottom w:val="single" w:sz="1" w:space="0" w:color="D1D5DB"/>
              <w:right w:val="single" w:sz="1" w:space="0" w:color="D1D5DB"/>
            </w:tcBorders>
            <w:shd w:val="clear" w:color="auto" w:fill="0F2044"/>
            <w:tcMar>
              <w:top w:w="100" w:type="dxa"/>
              <w:left w:w="140" w:type="dxa"/>
              <w:bottom w:w="100" w:type="dxa"/>
              <w:right w:w="140" w:type="dxa"/>
            </w:tcMar>
          </w:tcPr>
          <w:p w:rsidR="00865D60" w:rsidRDefault="00BE3102">
            <w:r>
              <w:rPr>
                <w:b/>
                <w:bCs/>
                <w:color w:val="FFFFFF"/>
                <w:sz w:val="20"/>
                <w:szCs w:val="20"/>
              </w:rPr>
              <w:t>Vessels</w:t>
            </w:r>
          </w:p>
        </w:tc>
        <w:tc>
          <w:tcPr>
            <w:tcW w:w="4500" w:type="dxa"/>
            <w:tcBorders>
              <w:top w:val="single" w:sz="1" w:space="0" w:color="D1D5DB"/>
              <w:left w:val="single" w:sz="1" w:space="0" w:color="D1D5DB"/>
              <w:bottom w:val="single" w:sz="1" w:space="0" w:color="D1D5DB"/>
              <w:right w:val="single" w:sz="1" w:space="0" w:color="D1D5DB"/>
            </w:tcBorders>
            <w:shd w:val="clear" w:color="auto" w:fill="0F2044"/>
            <w:tcMar>
              <w:top w:w="100" w:type="dxa"/>
              <w:left w:w="140" w:type="dxa"/>
              <w:bottom w:w="100" w:type="dxa"/>
              <w:right w:w="140" w:type="dxa"/>
            </w:tcMar>
          </w:tcPr>
          <w:p w:rsidR="00865D60" w:rsidRDefault="00BE3102">
            <w:r>
              <w:rPr>
                <w:b/>
                <w:bCs/>
                <w:color w:val="FFFFFF"/>
                <w:sz w:val="20"/>
                <w:szCs w:val="20"/>
              </w:rPr>
              <w:t>Actions</w:t>
            </w:r>
          </w:p>
        </w:tc>
        <w:tc>
          <w:tcPr>
            <w:tcW w:w="2060" w:type="dxa"/>
            <w:tcBorders>
              <w:top w:val="single" w:sz="1" w:space="0" w:color="D1D5DB"/>
              <w:left w:val="single" w:sz="1" w:space="0" w:color="D1D5DB"/>
              <w:bottom w:val="single" w:sz="1" w:space="0" w:color="D1D5DB"/>
              <w:right w:val="single" w:sz="1" w:space="0" w:color="D1D5DB"/>
            </w:tcBorders>
            <w:shd w:val="clear" w:color="auto" w:fill="0F2044"/>
            <w:tcMar>
              <w:top w:w="100" w:type="dxa"/>
              <w:left w:w="140" w:type="dxa"/>
              <w:bottom w:w="100" w:type="dxa"/>
              <w:right w:w="140" w:type="dxa"/>
            </w:tcMar>
          </w:tcPr>
          <w:p w:rsidR="00865D60" w:rsidRDefault="00BE3102">
            <w:r>
              <w:rPr>
                <w:b/>
                <w:bCs/>
                <w:color w:val="FFFFFF"/>
                <w:sz w:val="20"/>
                <w:szCs w:val="20"/>
              </w:rPr>
              <w:t>Est. Monthly Cost</w:t>
            </w:r>
          </w:p>
        </w:tc>
      </w:tr>
      <w:tr w:rsidR="00865D60">
        <w:tblPrEx>
          <w:tblCellMar>
            <w:top w:w="0" w:type="dxa"/>
            <w:bottom w:w="0" w:type="dxa"/>
          </w:tblCellMar>
        </w:tblPrEx>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1 — Foundation</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0–100</w:t>
            </w:r>
          </w:p>
        </w:tc>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Master DB + Telemetry DB on DO. Hybrid JSONB schema. Basic normalization in API. Auto backups enabled.</w:t>
            </w:r>
          </w:p>
        </w:tc>
        <w:tc>
          <w:tcPr>
            <w:tcW w:w="20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~$65–130</w:t>
            </w:r>
          </w:p>
        </w:tc>
      </w:tr>
      <w:tr w:rsidR="00865D60">
        <w:tblPrEx>
          <w:tblCellMar>
            <w:top w:w="0" w:type="dxa"/>
            <w:bottom w:w="0" w:type="dxa"/>
          </w:tblCellMar>
        </w:tblPrEx>
        <w:tc>
          <w:tcPr>
            <w:tcW w:w="14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2 — Pipeline</w:t>
            </w:r>
          </w:p>
        </w:tc>
        <w:tc>
          <w:tcPr>
            <w:tcW w:w="14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100–500</w:t>
            </w:r>
          </w:p>
        </w:tc>
        <w:tc>
          <w:tcPr>
            <w:tcW w:w="45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Deploy RedPanda/Kafka buffer. Worker normalization service. Add read replica. PgBouncer connection pooling.</w:t>
            </w:r>
          </w:p>
        </w:tc>
        <w:tc>
          <w:tcPr>
            <w:tcW w:w="206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~$200–400</w:t>
            </w:r>
          </w:p>
        </w:tc>
      </w:tr>
      <w:tr w:rsidR="00865D60">
        <w:tblPrEx>
          <w:tblCellMar>
            <w:top w:w="0" w:type="dxa"/>
            <w:bottom w:w="0" w:type="dxa"/>
          </w:tblCellMar>
        </w:tblPrEx>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3 — Tiering</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500–2,000</w:t>
            </w:r>
          </w:p>
        </w:tc>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90-day retention policy. Nightly Parquet archive to DO Spaces. DuckDB for historical queries. Transparent hot/cold API merge.</w:t>
            </w:r>
          </w:p>
        </w:tc>
        <w:tc>
          <w:tcPr>
            <w:tcW w:w="20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~$400–700</w:t>
            </w:r>
          </w:p>
        </w:tc>
      </w:tr>
      <w:tr w:rsidR="00865D60">
        <w:tblPrEx>
          <w:tblCellMar>
            <w:top w:w="0" w:type="dxa"/>
            <w:bottom w:w="0" w:type="dxa"/>
          </w:tblCellMar>
        </w:tblPrEx>
        <w:tc>
          <w:tcPr>
            <w:tcW w:w="14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4 — Distribution</w:t>
            </w:r>
          </w:p>
        </w:tc>
        <w:tc>
          <w:tcPr>
            <w:tcW w:w="14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2,000–10,000+</w:t>
            </w:r>
          </w:p>
        </w:tc>
        <w:tc>
          <w:tcPr>
            <w:tcW w:w="45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Scale TimescaleDB to 32GB+ RAM. Migrate cold storage to AWS S3 + Athena. Citus extension for horizontal write sharding if needed.</w:t>
            </w:r>
          </w:p>
        </w:tc>
        <w:tc>
          <w:tcPr>
            <w:tcW w:w="206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~$700–1,500</w:t>
            </w:r>
          </w:p>
        </w:tc>
      </w:tr>
    </w:tbl>
    <w:p w:rsidR="00865D60" w:rsidRDefault="00865D6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65D60">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166534"/>
            <w:tcMar>
              <w:top w:w="140" w:type="dxa"/>
              <w:left w:w="200" w:type="dxa"/>
              <w:bottom w:w="140" w:type="dxa"/>
              <w:right w:w="200" w:type="dxa"/>
            </w:tcMar>
          </w:tcPr>
          <w:p w:rsidR="00865D60" w:rsidRDefault="00BE3102" w:rsidP="00A27E87">
            <w:pPr>
              <w:spacing w:after="60"/>
            </w:pPr>
            <w:r w:rsidRPr="00A27E87">
              <w:rPr>
                <w:b/>
                <w:bCs/>
                <w:color w:val="FFFFFF" w:themeColor="background1"/>
                <w:sz w:val="21"/>
                <w:szCs w:val="21"/>
              </w:rPr>
              <w:t>✅</w:t>
            </w:r>
            <w:r w:rsidRPr="00A27E87">
              <w:rPr>
                <w:b/>
                <w:bCs/>
                <w:color w:val="FFFFFF" w:themeColor="background1"/>
                <w:sz w:val="21"/>
                <w:szCs w:val="21"/>
              </w:rPr>
              <w:t xml:space="preserve"> Zero-Rewrite Guarantee  Moving from Phase 1 to Phase 4 does not require changing the database schema, rewriting application queries, or migrating to a different database technology. Each phase adds infrastructure around the same core — TimescaleDB, the s</w:t>
            </w:r>
            <w:r w:rsidRPr="00A27E87">
              <w:rPr>
                <w:b/>
                <w:bCs/>
                <w:color w:val="FFFFFF" w:themeColor="background1"/>
                <w:sz w:val="21"/>
                <w:szCs w:val="21"/>
              </w:rPr>
              <w:t>ame two clusters, the same SQL. This is the definition of a permanent architecture.</w:t>
            </w:r>
          </w:p>
        </w:tc>
      </w:tr>
    </w:tbl>
    <w:p w:rsidR="00865D60" w:rsidRDefault="00BE3102">
      <w:r>
        <w:br w:type="page"/>
      </w:r>
    </w:p>
    <w:p w:rsidR="00865D60" w:rsidRDefault="00BE3102">
      <w:pPr>
        <w:pStyle w:val="Heading1"/>
      </w:pPr>
      <w:r>
        <w:t>8. Dynamic Dashboard Configuration</w:t>
      </w:r>
    </w:p>
    <w:p w:rsidR="00865D60" w:rsidRDefault="00BE3102">
      <w:pPr>
        <w:pStyle w:val="Heading2"/>
        <w:pBdr>
          <w:bottom w:val="single" w:sz="6" w:space="4" w:color="2563EB"/>
        </w:pBdr>
      </w:pPr>
      <w:r>
        <w:t>8.1 The Problem</w:t>
      </w:r>
    </w:p>
    <w:p w:rsidR="00865D60" w:rsidRDefault="00BE3102">
      <w:pPr>
        <w:spacing w:before="80" w:after="80"/>
      </w:pPr>
      <w:r>
        <w:t>Vessels from different manufacturers send sensor data with different field names. A dashboard hardcoded to "rpm" breaks when a vessel sends "engine_speed". A solution that requires a developer to add code for every new vessel type does not scale.</w:t>
      </w:r>
    </w:p>
    <w:p w:rsidR="00865D60" w:rsidRDefault="00865D60"/>
    <w:p w:rsidR="00865D60" w:rsidRDefault="00BE3102">
      <w:pPr>
        <w:pStyle w:val="Heading2"/>
        <w:pBdr>
          <w:bottom w:val="single" w:sz="6" w:space="4" w:color="2563EB"/>
        </w:pBdr>
      </w:pPr>
      <w:r>
        <w:t>8.2 Solu</w:t>
      </w:r>
      <w:r>
        <w:t>tion: Config-Driven UI</w:t>
      </w:r>
    </w:p>
    <w:p w:rsidR="00865D60" w:rsidRDefault="00BE3102">
      <w:pPr>
        <w:spacing w:before="80" w:after="80"/>
      </w:pPr>
      <w:r>
        <w:t>The dashboard configuration is stored as data in Master DB. The frontend renders whatever widgets are defined in the config — it never references field names directly. Adding a new vessel with completely different sensor names requir</w:t>
      </w:r>
      <w:r>
        <w:t>es only new rows in two tables: no code changes, no deployment.</w:t>
      </w:r>
    </w:p>
    <w:p w:rsidR="00865D60" w:rsidRDefault="00865D6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65D60">
        <w:tblPrEx>
          <w:tblCellMar>
            <w:top w:w="0" w:type="dxa"/>
            <w:bottom w:w="0" w:type="dxa"/>
          </w:tblCellMar>
        </w:tblPrEx>
        <w:tc>
          <w:tcPr>
            <w:tcW w:w="9360" w:type="dxa"/>
            <w:tcBorders>
              <w:top w:val="single" w:sz="1" w:space="0" w:color="334155"/>
              <w:left w:val="single" w:sz="1" w:space="0" w:color="334155"/>
              <w:bottom w:val="single" w:sz="1" w:space="0" w:color="334155"/>
              <w:right w:val="single" w:sz="1" w:space="0" w:color="334155"/>
            </w:tcBorders>
            <w:shd w:val="clear" w:color="auto" w:fill="0F172A"/>
            <w:tcMar>
              <w:top w:w="140" w:type="dxa"/>
              <w:left w:w="200" w:type="dxa"/>
              <w:bottom w:w="140" w:type="dxa"/>
              <w:right w:w="200" w:type="dxa"/>
            </w:tcMar>
          </w:tcPr>
          <w:p w:rsidR="00865D60" w:rsidRDefault="00BE3102">
            <w:r>
              <w:rPr>
                <w:rFonts w:ascii="Courier New" w:eastAsia="Courier New" w:hAnsi="Courier New" w:cs="Courier New"/>
                <w:color w:val="7DD3FC"/>
                <w:sz w:val="18"/>
                <w:szCs w:val="18"/>
              </w:rPr>
              <w:t>-- Master DB: maps incoming sensor keys to standard names</w:t>
            </w:r>
          </w:p>
          <w:p w:rsidR="00865D60" w:rsidRDefault="00BE3102">
            <w:r>
              <w:rPr>
                <w:rFonts w:ascii="Courier New" w:eastAsia="Courier New" w:hAnsi="Courier New" w:cs="Courier New"/>
                <w:color w:val="7DD3FC"/>
                <w:sz w:val="18"/>
                <w:szCs w:val="18"/>
              </w:rPr>
              <w:t>CREATE TABLE parameter_master_data (</w:t>
            </w:r>
          </w:p>
          <w:p w:rsidR="00865D60" w:rsidRDefault="00BE3102">
            <w:r>
              <w:rPr>
                <w:rFonts w:ascii="Courier New" w:eastAsia="Courier New" w:hAnsi="Courier New" w:cs="Courier New"/>
                <w:color w:val="7DD3FC"/>
                <w:sz w:val="18"/>
                <w:szCs w:val="18"/>
              </w:rPr>
              <w:t xml:space="preserve">  id            SERIAL PRIMARY KEY,</w:t>
            </w:r>
          </w:p>
          <w:p w:rsidR="00865D60" w:rsidRDefault="00BE3102">
            <w:r>
              <w:rPr>
                <w:rFonts w:ascii="Courier New" w:eastAsia="Courier New" w:hAnsi="Courier New" w:cs="Courier New"/>
                <w:color w:val="7DD3FC"/>
                <w:sz w:val="18"/>
                <w:szCs w:val="18"/>
              </w:rPr>
              <w:t xml:space="preserve">  vessel_id     INT REFERENCES vessel(id),</w:t>
            </w:r>
          </w:p>
          <w:p w:rsidR="00865D60" w:rsidRDefault="00BE3102">
            <w:r>
              <w:rPr>
                <w:rFonts w:ascii="Courier New" w:eastAsia="Courier New" w:hAnsi="Courier New" w:cs="Courier New"/>
                <w:color w:val="7DD3FC"/>
                <w:sz w:val="18"/>
                <w:szCs w:val="18"/>
              </w:rPr>
              <w:t xml:space="preserve">  source_key    T</w:t>
            </w:r>
            <w:r>
              <w:rPr>
                <w:rFonts w:ascii="Courier New" w:eastAsia="Courier New" w:hAnsi="Courier New" w:cs="Courier New"/>
                <w:color w:val="7DD3FC"/>
                <w:sz w:val="18"/>
                <w:szCs w:val="18"/>
              </w:rPr>
              <w:t>EXT,    -- what the sensor sends: "engine_speed"</w:t>
            </w:r>
          </w:p>
          <w:p w:rsidR="00865D60" w:rsidRDefault="00BE3102">
            <w:r>
              <w:rPr>
                <w:rFonts w:ascii="Courier New" w:eastAsia="Courier New" w:hAnsi="Courier New" w:cs="Courier New"/>
                <w:color w:val="7DD3FC"/>
                <w:sz w:val="18"/>
                <w:szCs w:val="18"/>
              </w:rPr>
              <w:t xml:space="preserve">  standard_key  TEXT,    -- your standard name:   "rpm"</w:t>
            </w:r>
          </w:p>
          <w:p w:rsidR="00865D60" w:rsidRDefault="00BE3102">
            <w:r>
              <w:rPr>
                <w:rFonts w:ascii="Courier New" w:eastAsia="Courier New" w:hAnsi="Courier New" w:cs="Courier New"/>
                <w:color w:val="7DD3FC"/>
                <w:sz w:val="18"/>
                <w:szCs w:val="18"/>
              </w:rPr>
              <w:t xml:space="preserve">  unit          TEXT,    -- "RPM", "celsius", "bar"</w:t>
            </w:r>
          </w:p>
          <w:p w:rsidR="00865D60" w:rsidRDefault="00BE3102">
            <w:r>
              <w:rPr>
                <w:rFonts w:ascii="Courier New" w:eastAsia="Courier New" w:hAnsi="Courier New" w:cs="Courier New"/>
                <w:color w:val="7DD3FC"/>
                <w:sz w:val="18"/>
                <w:szCs w:val="18"/>
              </w:rPr>
              <w:t xml:space="preserve">  scale_factor  NUMERIC  -- e.g. 0.1 if sensor sends in tenths</w:t>
            </w:r>
          </w:p>
          <w:p w:rsidR="00865D60" w:rsidRDefault="00BE3102">
            <w:r>
              <w:rPr>
                <w:rFonts w:ascii="Courier New" w:eastAsia="Courier New" w:hAnsi="Courier New" w:cs="Courier New"/>
                <w:color w:val="7DD3FC"/>
                <w:sz w:val="18"/>
                <w:szCs w:val="18"/>
              </w:rPr>
              <w:t>);</w:t>
            </w:r>
          </w:p>
          <w:p w:rsidR="00865D60" w:rsidRDefault="00BE3102">
            <w:r>
              <w:rPr>
                <w:rFonts w:ascii="Courier New" w:eastAsia="Courier New" w:hAnsi="Courier New" w:cs="Courier New"/>
                <w:color w:val="7DD3FC"/>
                <w:sz w:val="18"/>
                <w:szCs w:val="18"/>
              </w:rPr>
              <w:t xml:space="preserve"> </w:t>
            </w:r>
          </w:p>
          <w:p w:rsidR="00865D60" w:rsidRDefault="00BE3102">
            <w:r>
              <w:rPr>
                <w:rFonts w:ascii="Courier New" w:eastAsia="Courier New" w:hAnsi="Courier New" w:cs="Courier New"/>
                <w:color w:val="7DD3FC"/>
                <w:sz w:val="18"/>
                <w:szCs w:val="18"/>
              </w:rPr>
              <w:t>-- Master DB: defines what widgets appear on each vessel dashboard</w:t>
            </w:r>
          </w:p>
          <w:p w:rsidR="00865D60" w:rsidRDefault="00BE3102">
            <w:r>
              <w:rPr>
                <w:rFonts w:ascii="Courier New" w:eastAsia="Courier New" w:hAnsi="Courier New" w:cs="Courier New"/>
                <w:color w:val="7DD3FC"/>
                <w:sz w:val="18"/>
                <w:szCs w:val="18"/>
              </w:rPr>
              <w:t>CREATE TABLE vessel_dashboard_config (</w:t>
            </w:r>
          </w:p>
          <w:p w:rsidR="00865D60" w:rsidRDefault="00BE3102">
            <w:r>
              <w:rPr>
                <w:rFonts w:ascii="Courier New" w:eastAsia="Courier New" w:hAnsi="Courier New" w:cs="Courier New"/>
                <w:color w:val="7DD3FC"/>
                <w:sz w:val="18"/>
                <w:szCs w:val="18"/>
              </w:rPr>
              <w:t xml:space="preserve">  id            SERIAL PRIMARY KEY,</w:t>
            </w:r>
          </w:p>
          <w:p w:rsidR="00865D60" w:rsidRDefault="00BE3102">
            <w:r>
              <w:rPr>
                <w:rFonts w:ascii="Courier New" w:eastAsia="Courier New" w:hAnsi="Courier New" w:cs="Courier New"/>
                <w:color w:val="7DD3FC"/>
                <w:sz w:val="18"/>
                <w:szCs w:val="18"/>
              </w:rPr>
              <w:t xml:space="preserve">  vessel_id     INT REFERENCES vessel(id),</w:t>
            </w:r>
          </w:p>
          <w:p w:rsidR="00865D60" w:rsidRDefault="00BE3102">
            <w:r>
              <w:rPr>
                <w:rFonts w:ascii="Courier New" w:eastAsia="Courier New" w:hAnsi="Courier New" w:cs="Courier New"/>
                <w:color w:val="7DD3FC"/>
                <w:sz w:val="18"/>
                <w:szCs w:val="18"/>
              </w:rPr>
              <w:t xml:space="preserve">  client_id     INT,</w:t>
            </w:r>
          </w:p>
          <w:p w:rsidR="00865D60" w:rsidRDefault="00BE3102">
            <w:r>
              <w:rPr>
                <w:rFonts w:ascii="Courier New" w:eastAsia="Courier New" w:hAnsi="Courier New" w:cs="Courier New"/>
                <w:color w:val="7DD3FC"/>
                <w:sz w:val="18"/>
                <w:szCs w:val="18"/>
              </w:rPr>
              <w:t xml:space="preserve">  widget_label  TEXT,    -- "Engine RPM"</w:t>
            </w:r>
          </w:p>
          <w:p w:rsidR="00865D60" w:rsidRDefault="00BE3102">
            <w:r>
              <w:rPr>
                <w:rFonts w:ascii="Courier New" w:eastAsia="Courier New" w:hAnsi="Courier New" w:cs="Courier New"/>
                <w:color w:val="7DD3FC"/>
                <w:sz w:val="18"/>
                <w:szCs w:val="18"/>
              </w:rPr>
              <w:t xml:space="preserve">  data_source   TEXT,    -- "column" or "jsonb"</w:t>
            </w:r>
          </w:p>
          <w:p w:rsidR="00865D60" w:rsidRDefault="00BE3102">
            <w:r>
              <w:rPr>
                <w:rFonts w:ascii="Courier New" w:eastAsia="Courier New" w:hAnsi="Courier New" w:cs="Courier New"/>
                <w:color w:val="7DD3FC"/>
                <w:sz w:val="18"/>
                <w:szCs w:val="18"/>
              </w:rPr>
              <w:t xml:space="preserve">  field_key     TEXT,    -- "rpm" or "vibration_hz"</w:t>
            </w:r>
          </w:p>
          <w:p w:rsidR="00865D60" w:rsidRDefault="00BE3102">
            <w:r>
              <w:rPr>
                <w:rFonts w:ascii="Courier New" w:eastAsia="Courier New" w:hAnsi="Courier New" w:cs="Courier New"/>
                <w:color w:val="7DD3FC"/>
                <w:sz w:val="18"/>
                <w:szCs w:val="18"/>
              </w:rPr>
              <w:t xml:space="preserve">  unit          TEXT,    -- "RPM", "Hz", "knots"</w:t>
            </w:r>
          </w:p>
          <w:p w:rsidR="00865D60" w:rsidRDefault="00BE3102">
            <w:r>
              <w:rPr>
                <w:rFonts w:ascii="Courier New" w:eastAsia="Courier New" w:hAnsi="Courier New" w:cs="Courier New"/>
                <w:color w:val="7DD3FC"/>
                <w:sz w:val="18"/>
                <w:szCs w:val="18"/>
              </w:rPr>
              <w:t xml:space="preserve">  widget_type   TEXT,    -- "gauge", "line_chart", "number", "map"</w:t>
            </w:r>
          </w:p>
          <w:p w:rsidR="00865D60" w:rsidRDefault="00BE3102">
            <w:r>
              <w:rPr>
                <w:rFonts w:ascii="Courier New" w:eastAsia="Courier New" w:hAnsi="Courier New" w:cs="Courier New"/>
                <w:color w:val="7DD3FC"/>
                <w:sz w:val="18"/>
                <w:szCs w:val="18"/>
              </w:rPr>
              <w:t xml:space="preserve">  display_order INT</w:t>
            </w:r>
          </w:p>
          <w:p w:rsidR="00865D60" w:rsidRDefault="00BE3102">
            <w:r>
              <w:rPr>
                <w:rFonts w:ascii="Courier New" w:eastAsia="Courier New" w:hAnsi="Courier New" w:cs="Courier New"/>
                <w:color w:val="7DD3FC"/>
                <w:sz w:val="18"/>
                <w:szCs w:val="18"/>
              </w:rPr>
              <w:t>);</w:t>
            </w:r>
          </w:p>
        </w:tc>
      </w:tr>
    </w:tbl>
    <w:p w:rsidR="00865D60" w:rsidRDefault="00865D60"/>
    <w:p w:rsidR="00865D60" w:rsidRDefault="00BE3102">
      <w:pPr>
        <w:pStyle w:val="Heading2"/>
        <w:pBdr>
          <w:bottom w:val="single" w:sz="6" w:space="4" w:color="2563EB"/>
        </w:pBdr>
      </w:pPr>
      <w:r>
        <w:t>8.3 Frontend Rendering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65D60">
        <w:tblPrEx>
          <w:tblCellMar>
            <w:top w:w="0" w:type="dxa"/>
            <w:bottom w:w="0" w:type="dxa"/>
          </w:tblCellMar>
        </w:tblPrEx>
        <w:tc>
          <w:tcPr>
            <w:tcW w:w="9360" w:type="dxa"/>
            <w:tcBorders>
              <w:top w:val="single" w:sz="1" w:space="0" w:color="334155"/>
              <w:left w:val="single" w:sz="1" w:space="0" w:color="334155"/>
              <w:bottom w:val="single" w:sz="1" w:space="0" w:color="334155"/>
              <w:right w:val="single" w:sz="1" w:space="0" w:color="334155"/>
            </w:tcBorders>
            <w:shd w:val="clear" w:color="auto" w:fill="0F172A"/>
            <w:tcMar>
              <w:top w:w="140" w:type="dxa"/>
              <w:left w:w="200" w:type="dxa"/>
              <w:bottom w:w="140" w:type="dxa"/>
              <w:right w:w="200" w:type="dxa"/>
            </w:tcMar>
          </w:tcPr>
          <w:p w:rsidR="00865D60" w:rsidRDefault="00BE3102">
            <w:r>
              <w:rPr>
                <w:rFonts w:ascii="Courier New" w:eastAsia="Courier New" w:hAnsi="Courier New" w:cs="Courier New"/>
                <w:color w:val="7DD3FC"/>
                <w:sz w:val="18"/>
                <w:szCs w:val="18"/>
              </w:rPr>
              <w:t>// Frontend: renders any vessel without knowing its sensor names</w:t>
            </w:r>
          </w:p>
          <w:p w:rsidR="00865D60" w:rsidRDefault="00BE3102">
            <w:r>
              <w:rPr>
                <w:rFonts w:ascii="Courier New" w:eastAsia="Courier New" w:hAnsi="Courier New" w:cs="Courier New"/>
                <w:color w:val="7DD3FC"/>
                <w:sz w:val="18"/>
                <w:szCs w:val="18"/>
              </w:rPr>
              <w:t>const widgets = dashboardConfig.map(widget =&gt; ({</w:t>
            </w:r>
          </w:p>
          <w:p w:rsidR="00865D60" w:rsidRDefault="00BE3102">
            <w:r>
              <w:rPr>
                <w:rFonts w:ascii="Courier New" w:eastAsia="Courier New" w:hAnsi="Courier New" w:cs="Courier New"/>
                <w:color w:val="7DD3FC"/>
                <w:sz w:val="18"/>
                <w:szCs w:val="18"/>
              </w:rPr>
              <w:t xml:space="preserve">  label: widget.widget_label,</w:t>
            </w:r>
          </w:p>
          <w:p w:rsidR="00865D60" w:rsidRDefault="00BE3102">
            <w:r>
              <w:rPr>
                <w:rFonts w:ascii="Courier New" w:eastAsia="Courier New" w:hAnsi="Courier New" w:cs="Courier New"/>
                <w:color w:val="7DD3FC"/>
                <w:sz w:val="18"/>
                <w:szCs w:val="18"/>
              </w:rPr>
              <w:t xml:space="preserve">  value: widget.data_source === "column"</w:t>
            </w:r>
          </w:p>
          <w:p w:rsidR="00865D60" w:rsidRDefault="00BE3102">
            <w:r>
              <w:rPr>
                <w:rFonts w:ascii="Courier New" w:eastAsia="Courier New" w:hAnsi="Courier New" w:cs="Courier New"/>
                <w:color w:val="7DD3FC"/>
                <w:sz w:val="18"/>
                <w:szCs w:val="18"/>
              </w:rPr>
              <w:t xml:space="preserve">    ? vesselData[widget.field_key]        </w:t>
            </w:r>
            <w:r>
              <w:rPr>
                <w:rFonts w:ascii="Courier New" w:eastAsia="Courier New" w:hAnsi="Courier New" w:cs="Courier New"/>
                <w:color w:val="7DD3FC"/>
                <w:sz w:val="18"/>
                <w:szCs w:val="18"/>
              </w:rPr>
              <w:t xml:space="preserve">       // rpm, speed, fuel</w:t>
            </w:r>
          </w:p>
          <w:p w:rsidR="00865D60" w:rsidRDefault="00BE3102">
            <w:r>
              <w:rPr>
                <w:rFonts w:ascii="Courier New" w:eastAsia="Courier New" w:hAnsi="Courier New" w:cs="Courier New"/>
                <w:color w:val="7DD3FC"/>
                <w:sz w:val="18"/>
                <w:szCs w:val="18"/>
              </w:rPr>
              <w:t xml:space="preserve">    : vesselData.raw_payload?.[widget.field_key], // vibration_hz, custom</w:t>
            </w:r>
          </w:p>
          <w:p w:rsidR="00865D60" w:rsidRDefault="00BE3102">
            <w:r>
              <w:rPr>
                <w:rFonts w:ascii="Courier New" w:eastAsia="Courier New" w:hAnsi="Courier New" w:cs="Courier New"/>
                <w:color w:val="7DD3FC"/>
                <w:sz w:val="18"/>
                <w:szCs w:val="18"/>
              </w:rPr>
              <w:t xml:space="preserve">  unit: widget.unit,</w:t>
            </w:r>
          </w:p>
          <w:p w:rsidR="00865D60" w:rsidRDefault="00BE3102">
            <w:r>
              <w:rPr>
                <w:rFonts w:ascii="Courier New" w:eastAsia="Courier New" w:hAnsi="Courier New" w:cs="Courier New"/>
                <w:color w:val="7DD3FC"/>
                <w:sz w:val="18"/>
                <w:szCs w:val="18"/>
              </w:rPr>
              <w:t xml:space="preserve">  type: widget.widget_type</w:t>
            </w:r>
          </w:p>
          <w:p w:rsidR="00865D60" w:rsidRDefault="00BE3102">
            <w:r>
              <w:rPr>
                <w:rFonts w:ascii="Courier New" w:eastAsia="Courier New" w:hAnsi="Courier New" w:cs="Courier New"/>
                <w:color w:val="7DD3FC"/>
                <w:sz w:val="18"/>
                <w:szCs w:val="18"/>
              </w:rPr>
              <w:t>}));</w:t>
            </w:r>
          </w:p>
          <w:p w:rsidR="00865D60" w:rsidRDefault="00BE3102">
            <w:r>
              <w:rPr>
                <w:rFonts w:ascii="Courier New" w:eastAsia="Courier New" w:hAnsi="Courier New" w:cs="Courier New"/>
                <w:color w:val="7DD3FC"/>
                <w:sz w:val="18"/>
                <w:szCs w:val="18"/>
              </w:rPr>
              <w:t xml:space="preserve"> </w:t>
            </w:r>
          </w:p>
          <w:p w:rsidR="00865D60" w:rsidRDefault="00BE3102">
            <w:r>
              <w:rPr>
                <w:rFonts w:ascii="Courier New" w:eastAsia="Courier New" w:hAnsi="Courier New" w:cs="Courier New"/>
                <w:color w:val="7DD3FC"/>
                <w:sz w:val="18"/>
                <w:szCs w:val="18"/>
              </w:rPr>
              <w:t>// Same rendering logic for every vessel.</w:t>
            </w:r>
          </w:p>
          <w:p w:rsidR="00865D60" w:rsidRDefault="00BE3102">
            <w:r>
              <w:rPr>
                <w:rFonts w:ascii="Courier New" w:eastAsia="Courier New" w:hAnsi="Courier New" w:cs="Courier New"/>
                <w:color w:val="7DD3FC"/>
                <w:sz w:val="18"/>
                <w:szCs w:val="18"/>
              </w:rPr>
              <w:t>// Wärtsilä, MAN, Caterpillar, custom IoT — all handled id</w:t>
            </w:r>
            <w:r>
              <w:rPr>
                <w:rFonts w:ascii="Courier New" w:eastAsia="Courier New" w:hAnsi="Courier New" w:cs="Courier New"/>
                <w:color w:val="7DD3FC"/>
                <w:sz w:val="18"/>
                <w:szCs w:val="18"/>
              </w:rPr>
              <w:t>entically.</w:t>
            </w:r>
          </w:p>
          <w:p w:rsidR="00865D60" w:rsidRDefault="00BE3102">
            <w:r>
              <w:rPr>
                <w:rFonts w:ascii="Courier New" w:eastAsia="Courier New" w:hAnsi="Courier New" w:cs="Courier New"/>
                <w:color w:val="7DD3FC"/>
                <w:sz w:val="18"/>
                <w:szCs w:val="18"/>
              </w:rPr>
              <w:t>// New vessel type = new rows in parameter_master_data + vessel_dashboard_config.</w:t>
            </w:r>
          </w:p>
          <w:p w:rsidR="00865D60" w:rsidRDefault="00BE3102">
            <w:r>
              <w:rPr>
                <w:rFonts w:ascii="Courier New" w:eastAsia="Courier New" w:hAnsi="Courier New" w:cs="Courier New"/>
                <w:color w:val="7DD3FC"/>
                <w:sz w:val="18"/>
                <w:szCs w:val="18"/>
              </w:rPr>
              <w:t>// Zero code changes. Zero deployment.</w:t>
            </w:r>
          </w:p>
        </w:tc>
      </w:tr>
    </w:tbl>
    <w:p w:rsidR="00865D60" w:rsidRDefault="00BE3102">
      <w:r>
        <w:br w:type="page"/>
      </w:r>
    </w:p>
    <w:p w:rsidR="00865D60" w:rsidRDefault="00BE3102">
      <w:pPr>
        <w:pStyle w:val="Heading1"/>
      </w:pPr>
      <w:r>
        <w:t>9. Cost Estimates (DigitalOcean)</w:t>
      </w:r>
    </w:p>
    <w:p w:rsidR="00865D60" w:rsidRDefault="00BE3102">
      <w:pPr>
        <w:pStyle w:val="Heading2"/>
        <w:pBdr>
          <w:bottom w:val="single" w:sz="6" w:space="4" w:color="2563EB"/>
        </w:pBdr>
      </w:pPr>
      <w:r>
        <w:t>9.1 Phase 1 — Development / Early (up to 100 vessels)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3160"/>
        <w:gridCol w:w="2200"/>
      </w:tblGrid>
      <w:tr w:rsidR="00865D60">
        <w:tblPrEx>
          <w:tblCellMar>
            <w:top w:w="0" w:type="dxa"/>
            <w:bottom w:w="0" w:type="dxa"/>
          </w:tblCellMar>
        </w:tblPrEx>
        <w:trPr>
          <w:tblHeader/>
        </w:trPr>
        <w:tc>
          <w:tcPr>
            <w:tcW w:w="4000" w:type="dxa"/>
            <w:tcBorders>
              <w:top w:val="single" w:sz="1" w:space="0" w:color="D1D5DB"/>
              <w:left w:val="single" w:sz="1" w:space="0" w:color="D1D5DB"/>
              <w:bottom w:val="single" w:sz="1" w:space="0" w:color="D1D5DB"/>
              <w:right w:val="single" w:sz="1" w:space="0" w:color="D1D5DB"/>
            </w:tcBorders>
            <w:shd w:val="clear" w:color="auto" w:fill="0F2044"/>
            <w:tcMar>
              <w:top w:w="100" w:type="dxa"/>
              <w:left w:w="140" w:type="dxa"/>
              <w:bottom w:w="100" w:type="dxa"/>
              <w:right w:w="140" w:type="dxa"/>
            </w:tcMar>
          </w:tcPr>
          <w:p w:rsidR="00865D60" w:rsidRDefault="00BE3102">
            <w:r>
              <w:rPr>
                <w:b/>
                <w:bCs/>
                <w:color w:val="FFFFFF"/>
                <w:sz w:val="20"/>
                <w:szCs w:val="20"/>
              </w:rPr>
              <w:t>Component</w:t>
            </w:r>
          </w:p>
        </w:tc>
        <w:tc>
          <w:tcPr>
            <w:tcW w:w="3160" w:type="dxa"/>
            <w:tcBorders>
              <w:top w:val="single" w:sz="1" w:space="0" w:color="D1D5DB"/>
              <w:left w:val="single" w:sz="1" w:space="0" w:color="D1D5DB"/>
              <w:bottom w:val="single" w:sz="1" w:space="0" w:color="D1D5DB"/>
              <w:right w:val="single" w:sz="1" w:space="0" w:color="D1D5DB"/>
            </w:tcBorders>
            <w:shd w:val="clear" w:color="auto" w:fill="0F2044"/>
            <w:tcMar>
              <w:top w:w="100" w:type="dxa"/>
              <w:left w:w="140" w:type="dxa"/>
              <w:bottom w:w="100" w:type="dxa"/>
              <w:right w:w="140" w:type="dxa"/>
            </w:tcMar>
          </w:tcPr>
          <w:p w:rsidR="00865D60" w:rsidRDefault="00BE3102">
            <w:r>
              <w:rPr>
                <w:b/>
                <w:bCs/>
                <w:color w:val="FFFFFF"/>
                <w:sz w:val="20"/>
                <w:szCs w:val="20"/>
              </w:rPr>
              <w:t>Spec</w:t>
            </w:r>
          </w:p>
        </w:tc>
        <w:tc>
          <w:tcPr>
            <w:tcW w:w="2200" w:type="dxa"/>
            <w:tcBorders>
              <w:top w:val="single" w:sz="1" w:space="0" w:color="D1D5DB"/>
              <w:left w:val="single" w:sz="1" w:space="0" w:color="D1D5DB"/>
              <w:bottom w:val="single" w:sz="1" w:space="0" w:color="D1D5DB"/>
              <w:right w:val="single" w:sz="1" w:space="0" w:color="D1D5DB"/>
            </w:tcBorders>
            <w:shd w:val="clear" w:color="auto" w:fill="0F2044"/>
            <w:tcMar>
              <w:top w:w="100" w:type="dxa"/>
              <w:left w:w="140" w:type="dxa"/>
              <w:bottom w:w="100" w:type="dxa"/>
              <w:right w:w="140" w:type="dxa"/>
            </w:tcMar>
          </w:tcPr>
          <w:p w:rsidR="00865D60" w:rsidRDefault="00BE3102">
            <w:r>
              <w:rPr>
                <w:b/>
                <w:bCs/>
                <w:color w:val="FFFFFF"/>
                <w:sz w:val="20"/>
                <w:szCs w:val="20"/>
              </w:rPr>
              <w:t>Monthly Cost</w:t>
            </w:r>
          </w:p>
        </w:tc>
      </w:tr>
      <w:tr w:rsidR="00865D60">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Master DB — single node</w:t>
            </w:r>
          </w:p>
        </w:tc>
        <w:tc>
          <w:tcPr>
            <w:tcW w:w="31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1GB RAM</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$15</w:t>
            </w:r>
          </w:p>
        </w:tc>
      </w:tr>
      <w:tr w:rsidR="00865D60">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Telemetry DB — single node</w:t>
            </w:r>
          </w:p>
        </w:tc>
        <w:tc>
          <w:tcPr>
            <w:tcW w:w="316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4GB RAM + TimescaleDB</w:t>
            </w:r>
          </w:p>
        </w:tc>
        <w:tc>
          <w:tcPr>
            <w:tcW w:w="22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$50</w:t>
            </w:r>
          </w:p>
        </w:tc>
      </w:tr>
      <w:tr w:rsidR="00865D60">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Total</w:t>
            </w:r>
          </w:p>
        </w:tc>
        <w:tc>
          <w:tcPr>
            <w:tcW w:w="31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865D60"/>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$65/month</w:t>
            </w:r>
          </w:p>
        </w:tc>
      </w:tr>
    </w:tbl>
    <w:p w:rsidR="00865D60" w:rsidRDefault="00865D60"/>
    <w:p w:rsidR="00865D60" w:rsidRDefault="00BE3102">
      <w:pPr>
        <w:pStyle w:val="Heading2"/>
        <w:pBdr>
          <w:bottom w:val="single" w:sz="6" w:space="4" w:color="2563EB"/>
        </w:pBdr>
      </w:pPr>
      <w:r>
        <w:t>9.2 Phase 2 — Production HA (100–500 vessels)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3160"/>
        <w:gridCol w:w="2200"/>
      </w:tblGrid>
      <w:tr w:rsidR="00865D60">
        <w:tblPrEx>
          <w:tblCellMar>
            <w:top w:w="0" w:type="dxa"/>
            <w:bottom w:w="0" w:type="dxa"/>
          </w:tblCellMar>
        </w:tblPrEx>
        <w:trPr>
          <w:tblHeader/>
        </w:trPr>
        <w:tc>
          <w:tcPr>
            <w:tcW w:w="4000" w:type="dxa"/>
            <w:tcBorders>
              <w:top w:val="single" w:sz="1" w:space="0" w:color="D1D5DB"/>
              <w:left w:val="single" w:sz="1" w:space="0" w:color="D1D5DB"/>
              <w:bottom w:val="single" w:sz="1" w:space="0" w:color="D1D5DB"/>
              <w:right w:val="single" w:sz="1" w:space="0" w:color="D1D5DB"/>
            </w:tcBorders>
            <w:shd w:val="clear" w:color="auto" w:fill="0F2044"/>
            <w:tcMar>
              <w:top w:w="100" w:type="dxa"/>
              <w:left w:w="140" w:type="dxa"/>
              <w:bottom w:w="100" w:type="dxa"/>
              <w:right w:w="140" w:type="dxa"/>
            </w:tcMar>
          </w:tcPr>
          <w:p w:rsidR="00865D60" w:rsidRDefault="00BE3102">
            <w:r>
              <w:rPr>
                <w:b/>
                <w:bCs/>
                <w:color w:val="FFFFFF"/>
                <w:sz w:val="20"/>
                <w:szCs w:val="20"/>
              </w:rPr>
              <w:t>Component</w:t>
            </w:r>
          </w:p>
        </w:tc>
        <w:tc>
          <w:tcPr>
            <w:tcW w:w="3160" w:type="dxa"/>
            <w:tcBorders>
              <w:top w:val="single" w:sz="1" w:space="0" w:color="D1D5DB"/>
              <w:left w:val="single" w:sz="1" w:space="0" w:color="D1D5DB"/>
              <w:bottom w:val="single" w:sz="1" w:space="0" w:color="D1D5DB"/>
              <w:right w:val="single" w:sz="1" w:space="0" w:color="D1D5DB"/>
            </w:tcBorders>
            <w:shd w:val="clear" w:color="auto" w:fill="0F2044"/>
            <w:tcMar>
              <w:top w:w="100" w:type="dxa"/>
              <w:left w:w="140" w:type="dxa"/>
              <w:bottom w:w="100" w:type="dxa"/>
              <w:right w:w="140" w:type="dxa"/>
            </w:tcMar>
          </w:tcPr>
          <w:p w:rsidR="00865D60" w:rsidRDefault="00BE3102">
            <w:r>
              <w:rPr>
                <w:b/>
                <w:bCs/>
                <w:color w:val="FFFFFF"/>
                <w:sz w:val="20"/>
                <w:szCs w:val="20"/>
              </w:rPr>
              <w:t>Spec</w:t>
            </w:r>
          </w:p>
        </w:tc>
        <w:tc>
          <w:tcPr>
            <w:tcW w:w="2200" w:type="dxa"/>
            <w:tcBorders>
              <w:top w:val="single" w:sz="1" w:space="0" w:color="D1D5DB"/>
              <w:left w:val="single" w:sz="1" w:space="0" w:color="D1D5DB"/>
              <w:bottom w:val="single" w:sz="1" w:space="0" w:color="D1D5DB"/>
              <w:right w:val="single" w:sz="1" w:space="0" w:color="D1D5DB"/>
            </w:tcBorders>
            <w:shd w:val="clear" w:color="auto" w:fill="0F2044"/>
            <w:tcMar>
              <w:top w:w="100" w:type="dxa"/>
              <w:left w:w="140" w:type="dxa"/>
              <w:bottom w:w="100" w:type="dxa"/>
              <w:right w:w="140" w:type="dxa"/>
            </w:tcMar>
          </w:tcPr>
          <w:p w:rsidR="00865D60" w:rsidRDefault="00BE3102">
            <w:r>
              <w:rPr>
                <w:b/>
                <w:bCs/>
                <w:color w:val="FFFFFF"/>
                <w:sz w:val="20"/>
                <w:szCs w:val="20"/>
              </w:rPr>
              <w:t>Monthly Cost</w:t>
            </w:r>
          </w:p>
        </w:tc>
      </w:tr>
      <w:tr w:rsidR="00865D60">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Master DB — HA</w:t>
            </w:r>
          </w:p>
        </w:tc>
        <w:tc>
          <w:tcPr>
            <w:tcW w:w="31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2GB RAM + 1 standby</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$60</w:t>
            </w:r>
          </w:p>
        </w:tc>
      </w:tr>
      <w:tr w:rsidR="00865D60">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Telemetry DB — HA</w:t>
            </w:r>
          </w:p>
        </w:tc>
        <w:tc>
          <w:tcPr>
            <w:tcW w:w="316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8GB RAM + 1 standby</w:t>
            </w:r>
          </w:p>
        </w:tc>
        <w:tc>
          <w:tcPr>
            <w:tcW w:w="22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$200</w:t>
            </w:r>
          </w:p>
        </w:tc>
      </w:tr>
      <w:tr w:rsidR="00865D60">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Read replica</w:t>
            </w:r>
          </w:p>
        </w:tc>
        <w:tc>
          <w:tcPr>
            <w:tcW w:w="31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4GB RAM</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$80</w:t>
            </w:r>
          </w:p>
        </w:tc>
      </w:tr>
      <w:tr w:rsidR="00865D60">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RedPanda — 2 droplets</w:t>
            </w:r>
          </w:p>
        </w:tc>
        <w:tc>
          <w:tcPr>
            <w:tcW w:w="316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Kafka buffer</w:t>
            </w:r>
          </w:p>
        </w:tc>
        <w:tc>
          <w:tcPr>
            <w:tcW w:w="22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$80</w:t>
            </w:r>
          </w:p>
        </w:tc>
      </w:tr>
      <w:tr w:rsidR="00865D60">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Worker processes — 3 droplets</w:t>
            </w:r>
          </w:p>
        </w:tc>
        <w:tc>
          <w:tcPr>
            <w:tcW w:w="31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Normalization workers</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$60</w:t>
            </w:r>
          </w:p>
        </w:tc>
      </w:tr>
      <w:tr w:rsidR="00865D60">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PgBouncer — 1 droplet</w:t>
            </w:r>
          </w:p>
        </w:tc>
        <w:tc>
          <w:tcPr>
            <w:tcW w:w="316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Connection pooling</w:t>
            </w:r>
          </w:p>
        </w:tc>
        <w:tc>
          <w:tcPr>
            <w:tcW w:w="22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$12</w:t>
            </w:r>
          </w:p>
        </w:tc>
      </w:tr>
      <w:tr w:rsidR="00865D60">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DO Spaces cold storage</w:t>
            </w:r>
          </w:p>
        </w:tc>
        <w:tc>
          <w:tcPr>
            <w:tcW w:w="31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~100GB Parquet</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$5</w:t>
            </w:r>
          </w:p>
        </w:tc>
      </w:tr>
      <w:tr w:rsidR="00865D60">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Total</w:t>
            </w:r>
          </w:p>
        </w:tc>
        <w:tc>
          <w:tcPr>
            <w:tcW w:w="316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865D60"/>
        </w:tc>
        <w:tc>
          <w:tcPr>
            <w:tcW w:w="22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~$497/month</w:t>
            </w:r>
          </w:p>
        </w:tc>
      </w:tr>
    </w:tbl>
    <w:p w:rsidR="00865D60" w:rsidRDefault="00865D60"/>
    <w:p w:rsidR="00865D60" w:rsidRDefault="00BE3102">
      <w:pPr>
        <w:pStyle w:val="Heading2"/>
        <w:pBdr>
          <w:bottom w:val="single" w:sz="6" w:space="4" w:color="2563EB"/>
        </w:pBdr>
      </w:pPr>
      <w:r>
        <w:t>9.3 Phase 4 — Full Scale (2,000–10,000 vessels)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3160"/>
        <w:gridCol w:w="2200"/>
      </w:tblGrid>
      <w:tr w:rsidR="00865D60">
        <w:tblPrEx>
          <w:tblCellMar>
            <w:top w:w="0" w:type="dxa"/>
            <w:bottom w:w="0" w:type="dxa"/>
          </w:tblCellMar>
        </w:tblPrEx>
        <w:trPr>
          <w:tblHeader/>
        </w:trPr>
        <w:tc>
          <w:tcPr>
            <w:tcW w:w="4000" w:type="dxa"/>
            <w:tcBorders>
              <w:top w:val="single" w:sz="1" w:space="0" w:color="D1D5DB"/>
              <w:left w:val="single" w:sz="1" w:space="0" w:color="D1D5DB"/>
              <w:bottom w:val="single" w:sz="1" w:space="0" w:color="D1D5DB"/>
              <w:right w:val="single" w:sz="1" w:space="0" w:color="D1D5DB"/>
            </w:tcBorders>
            <w:shd w:val="clear" w:color="auto" w:fill="0F2044"/>
            <w:tcMar>
              <w:top w:w="100" w:type="dxa"/>
              <w:left w:w="140" w:type="dxa"/>
              <w:bottom w:w="100" w:type="dxa"/>
              <w:right w:w="140" w:type="dxa"/>
            </w:tcMar>
          </w:tcPr>
          <w:p w:rsidR="00865D60" w:rsidRDefault="00BE3102">
            <w:r>
              <w:rPr>
                <w:b/>
                <w:bCs/>
                <w:color w:val="FFFFFF"/>
                <w:sz w:val="20"/>
                <w:szCs w:val="20"/>
              </w:rPr>
              <w:t>Component</w:t>
            </w:r>
          </w:p>
        </w:tc>
        <w:tc>
          <w:tcPr>
            <w:tcW w:w="3160" w:type="dxa"/>
            <w:tcBorders>
              <w:top w:val="single" w:sz="1" w:space="0" w:color="D1D5DB"/>
              <w:left w:val="single" w:sz="1" w:space="0" w:color="D1D5DB"/>
              <w:bottom w:val="single" w:sz="1" w:space="0" w:color="D1D5DB"/>
              <w:right w:val="single" w:sz="1" w:space="0" w:color="D1D5DB"/>
            </w:tcBorders>
            <w:shd w:val="clear" w:color="auto" w:fill="0F2044"/>
            <w:tcMar>
              <w:top w:w="100" w:type="dxa"/>
              <w:left w:w="140" w:type="dxa"/>
              <w:bottom w:w="100" w:type="dxa"/>
              <w:right w:w="140" w:type="dxa"/>
            </w:tcMar>
          </w:tcPr>
          <w:p w:rsidR="00865D60" w:rsidRDefault="00BE3102">
            <w:r>
              <w:rPr>
                <w:b/>
                <w:bCs/>
                <w:color w:val="FFFFFF"/>
                <w:sz w:val="20"/>
                <w:szCs w:val="20"/>
              </w:rPr>
              <w:t>Spec</w:t>
            </w:r>
          </w:p>
        </w:tc>
        <w:tc>
          <w:tcPr>
            <w:tcW w:w="2200" w:type="dxa"/>
            <w:tcBorders>
              <w:top w:val="single" w:sz="1" w:space="0" w:color="D1D5DB"/>
              <w:left w:val="single" w:sz="1" w:space="0" w:color="D1D5DB"/>
              <w:bottom w:val="single" w:sz="1" w:space="0" w:color="D1D5DB"/>
              <w:right w:val="single" w:sz="1" w:space="0" w:color="D1D5DB"/>
            </w:tcBorders>
            <w:shd w:val="clear" w:color="auto" w:fill="0F2044"/>
            <w:tcMar>
              <w:top w:w="100" w:type="dxa"/>
              <w:left w:w="140" w:type="dxa"/>
              <w:bottom w:w="100" w:type="dxa"/>
              <w:right w:w="140" w:type="dxa"/>
            </w:tcMar>
          </w:tcPr>
          <w:p w:rsidR="00865D60" w:rsidRDefault="00BE3102">
            <w:r>
              <w:rPr>
                <w:b/>
                <w:bCs/>
                <w:color w:val="FFFFFF"/>
                <w:sz w:val="20"/>
                <w:szCs w:val="20"/>
              </w:rPr>
              <w:t>Monthly Cost</w:t>
            </w:r>
          </w:p>
        </w:tc>
      </w:tr>
      <w:tr w:rsidR="00865D60">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Master DB — HA</w:t>
            </w:r>
          </w:p>
        </w:tc>
        <w:tc>
          <w:tcPr>
            <w:tcW w:w="31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4GB RAM + standby</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$120</w:t>
            </w:r>
          </w:p>
        </w:tc>
      </w:tr>
      <w:tr w:rsidR="00865D60">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Telemetry DB — HA</w:t>
            </w:r>
          </w:p>
        </w:tc>
        <w:tc>
          <w:tcPr>
            <w:tcW w:w="316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32GB RAM + standby + 2 read replicas</w:t>
            </w:r>
          </w:p>
        </w:tc>
        <w:tc>
          <w:tcPr>
            <w:tcW w:w="22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$900</w:t>
            </w:r>
          </w:p>
        </w:tc>
      </w:tr>
      <w:tr w:rsidR="00865D60">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RedPanda cluster</w:t>
            </w:r>
          </w:p>
        </w:tc>
        <w:tc>
          <w:tcPr>
            <w:tcW w:w="31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3-node cluster</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$150</w:t>
            </w:r>
          </w:p>
        </w:tc>
      </w:tr>
      <w:tr w:rsidR="00865D60">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Worker processes — 10 droplets</w:t>
            </w:r>
          </w:p>
        </w:tc>
        <w:tc>
          <w:tcPr>
            <w:tcW w:w="316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Auto-scaling normalization</w:t>
            </w:r>
          </w:p>
        </w:tc>
        <w:tc>
          <w:tcPr>
            <w:tcW w:w="22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$200</w:t>
            </w:r>
          </w:p>
        </w:tc>
      </w:tr>
      <w:tr w:rsidR="00865D60">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PgBouncer</w:t>
            </w:r>
          </w:p>
        </w:tc>
        <w:tc>
          <w:tcPr>
            <w:tcW w:w="31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2 droplets (HA)</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$24</w:t>
            </w:r>
          </w:p>
        </w:tc>
      </w:tr>
      <w:tr w:rsidR="00865D60">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AWS S3 cold storage + Athena</w:t>
            </w:r>
          </w:p>
        </w:tc>
        <w:tc>
          <w:tcPr>
            <w:tcW w:w="316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~20TB Parquet + queries</w:t>
            </w:r>
          </w:p>
        </w:tc>
        <w:tc>
          <w:tcPr>
            <w:tcW w:w="22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$120</w:t>
            </w:r>
          </w:p>
        </w:tc>
      </w:tr>
      <w:tr w:rsidR="00865D60">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Total</w:t>
            </w:r>
          </w:p>
        </w:tc>
        <w:tc>
          <w:tcPr>
            <w:tcW w:w="31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865D60"/>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~$1,514/month</w:t>
            </w:r>
          </w:p>
        </w:tc>
      </w:tr>
    </w:tbl>
    <w:p w:rsidR="00865D60" w:rsidRDefault="00865D6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27E87" w:rsidRPr="00A27E8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1E40AF"/>
            <w:tcMar>
              <w:top w:w="140" w:type="dxa"/>
              <w:left w:w="200" w:type="dxa"/>
              <w:bottom w:w="140" w:type="dxa"/>
              <w:right w:w="200" w:type="dxa"/>
            </w:tcMar>
          </w:tcPr>
          <w:p w:rsidR="00865D60" w:rsidRPr="00A27E87" w:rsidRDefault="00BE3102" w:rsidP="00A27E87">
            <w:pPr>
              <w:spacing w:after="60"/>
              <w:rPr>
                <w:color w:val="FFFFFF" w:themeColor="background1"/>
              </w:rPr>
            </w:pPr>
            <w:r w:rsidRPr="00A27E87">
              <w:rPr>
                <w:b/>
                <w:bCs/>
                <w:color w:val="FFFFFF" w:themeColor="background1"/>
                <w:sz w:val="21"/>
                <w:szCs w:val="21"/>
              </w:rPr>
              <w:t>💡</w:t>
            </w:r>
            <w:r w:rsidRPr="00A27E87">
              <w:rPr>
                <w:b/>
                <w:bCs/>
                <w:color w:val="FFFFFF" w:themeColor="background1"/>
                <w:sz w:val="21"/>
                <w:szCs w:val="21"/>
              </w:rPr>
              <w:t xml:space="preserve"> Cost vs MongoDB Atlas at Equivalent Scale  MongoDB Atlas for 10,000 vessels: $1,800–$2,500/month — and still requires Kafka, workers, and cold storage on top. TimescaleDB delivers 40–50% cost savings while providing superior time-series performance, 95%</w:t>
            </w:r>
            <w:r w:rsidRPr="00A27E87">
              <w:rPr>
                <w:b/>
                <w:bCs/>
                <w:color w:val="FFFFFF" w:themeColor="background1"/>
                <w:sz w:val="21"/>
                <w:szCs w:val="21"/>
              </w:rPr>
              <w:t xml:space="preserve"> storage compression, and full relational query power.</w:t>
            </w:r>
          </w:p>
        </w:tc>
      </w:tr>
    </w:tbl>
    <w:p w:rsidR="00865D60" w:rsidRPr="00A27E87" w:rsidRDefault="00BE3102">
      <w:pPr>
        <w:rPr>
          <w:color w:val="FFFFFF" w:themeColor="background1"/>
        </w:rPr>
      </w:pPr>
      <w:r w:rsidRPr="00A27E87">
        <w:rPr>
          <w:color w:val="FFFFFF" w:themeColor="background1"/>
        </w:rPr>
        <w:br w:type="page"/>
      </w:r>
    </w:p>
    <w:p w:rsidR="00865D60" w:rsidRDefault="00BE3102">
      <w:pPr>
        <w:pStyle w:val="Heading1"/>
      </w:pPr>
      <w:r>
        <w:t>10. Backup &amp; Disaster Recovery</w:t>
      </w:r>
    </w:p>
    <w:p w:rsidR="00865D60" w:rsidRDefault="00865D6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2000"/>
        <w:gridCol w:w="2360"/>
      </w:tblGrid>
      <w:tr w:rsidR="00865D60">
        <w:tblPrEx>
          <w:tblCellMar>
            <w:top w:w="0" w:type="dxa"/>
            <w:bottom w:w="0" w:type="dxa"/>
          </w:tblCellMar>
        </w:tblPrEx>
        <w:trPr>
          <w:tblHeader/>
        </w:trPr>
        <w:tc>
          <w:tcPr>
            <w:tcW w:w="2200" w:type="dxa"/>
            <w:tcBorders>
              <w:top w:val="single" w:sz="1" w:space="0" w:color="D1D5DB"/>
              <w:left w:val="single" w:sz="1" w:space="0" w:color="D1D5DB"/>
              <w:bottom w:val="single" w:sz="1" w:space="0" w:color="D1D5DB"/>
              <w:right w:val="single" w:sz="1" w:space="0" w:color="D1D5DB"/>
            </w:tcBorders>
            <w:shd w:val="clear" w:color="auto" w:fill="0F2044"/>
            <w:tcMar>
              <w:top w:w="100" w:type="dxa"/>
              <w:left w:w="140" w:type="dxa"/>
              <w:bottom w:w="100" w:type="dxa"/>
              <w:right w:w="140" w:type="dxa"/>
            </w:tcMar>
          </w:tcPr>
          <w:p w:rsidR="00865D60" w:rsidRDefault="00BE3102">
            <w:r>
              <w:rPr>
                <w:b/>
                <w:bCs/>
                <w:color w:val="FFFFFF"/>
                <w:sz w:val="20"/>
                <w:szCs w:val="20"/>
              </w:rPr>
              <w:t>Layer</w:t>
            </w:r>
          </w:p>
        </w:tc>
        <w:tc>
          <w:tcPr>
            <w:tcW w:w="2800" w:type="dxa"/>
            <w:tcBorders>
              <w:top w:val="single" w:sz="1" w:space="0" w:color="D1D5DB"/>
              <w:left w:val="single" w:sz="1" w:space="0" w:color="D1D5DB"/>
              <w:bottom w:val="single" w:sz="1" w:space="0" w:color="D1D5DB"/>
              <w:right w:val="single" w:sz="1" w:space="0" w:color="D1D5DB"/>
            </w:tcBorders>
            <w:shd w:val="clear" w:color="auto" w:fill="0F2044"/>
            <w:tcMar>
              <w:top w:w="100" w:type="dxa"/>
              <w:left w:w="140" w:type="dxa"/>
              <w:bottom w:w="100" w:type="dxa"/>
              <w:right w:w="140" w:type="dxa"/>
            </w:tcMar>
          </w:tcPr>
          <w:p w:rsidR="00865D60" w:rsidRDefault="00BE3102">
            <w:r>
              <w:rPr>
                <w:b/>
                <w:bCs/>
                <w:color w:val="FFFFFF"/>
                <w:sz w:val="20"/>
                <w:szCs w:val="20"/>
              </w:rPr>
              <w:t>Solution</w:t>
            </w:r>
          </w:p>
        </w:tc>
        <w:tc>
          <w:tcPr>
            <w:tcW w:w="2000" w:type="dxa"/>
            <w:tcBorders>
              <w:top w:val="single" w:sz="1" w:space="0" w:color="D1D5DB"/>
              <w:left w:val="single" w:sz="1" w:space="0" w:color="D1D5DB"/>
              <w:bottom w:val="single" w:sz="1" w:space="0" w:color="D1D5DB"/>
              <w:right w:val="single" w:sz="1" w:space="0" w:color="D1D5DB"/>
            </w:tcBorders>
            <w:shd w:val="clear" w:color="auto" w:fill="0F2044"/>
            <w:tcMar>
              <w:top w:w="100" w:type="dxa"/>
              <w:left w:w="140" w:type="dxa"/>
              <w:bottom w:w="100" w:type="dxa"/>
              <w:right w:w="140" w:type="dxa"/>
            </w:tcMar>
          </w:tcPr>
          <w:p w:rsidR="00865D60" w:rsidRDefault="00BE3102">
            <w:r>
              <w:rPr>
                <w:b/>
                <w:bCs/>
                <w:color w:val="FFFFFF"/>
                <w:sz w:val="20"/>
                <w:szCs w:val="20"/>
              </w:rPr>
              <w:t>Retention</w:t>
            </w:r>
          </w:p>
        </w:tc>
        <w:tc>
          <w:tcPr>
            <w:tcW w:w="2360" w:type="dxa"/>
            <w:tcBorders>
              <w:top w:val="single" w:sz="1" w:space="0" w:color="D1D5DB"/>
              <w:left w:val="single" w:sz="1" w:space="0" w:color="D1D5DB"/>
              <w:bottom w:val="single" w:sz="1" w:space="0" w:color="D1D5DB"/>
              <w:right w:val="single" w:sz="1" w:space="0" w:color="D1D5DB"/>
            </w:tcBorders>
            <w:shd w:val="clear" w:color="auto" w:fill="0F2044"/>
            <w:tcMar>
              <w:top w:w="100" w:type="dxa"/>
              <w:left w:w="140" w:type="dxa"/>
              <w:bottom w:w="100" w:type="dxa"/>
              <w:right w:w="140" w:type="dxa"/>
            </w:tcMar>
          </w:tcPr>
          <w:p w:rsidR="00865D60" w:rsidRDefault="00BE3102">
            <w:r>
              <w:rPr>
                <w:b/>
                <w:bCs/>
                <w:color w:val="FFFFFF"/>
                <w:sz w:val="20"/>
                <w:szCs w:val="20"/>
              </w:rPr>
              <w:t>Config Required</w:t>
            </w:r>
          </w:p>
        </w:tc>
      </w:tr>
      <w:tr w:rsidR="00865D60">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Daily automated backup</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Built-in DO Managed Postgres</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7 days PITR</w:t>
            </w:r>
          </w:p>
        </w:tc>
        <w:tc>
          <w:tcPr>
            <w:tcW w:w="23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None — enabled by default</w:t>
            </w:r>
          </w:p>
        </w:tc>
      </w:tr>
      <w:tr w:rsidR="00865D60">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Extended retention</w:t>
            </w:r>
          </w:p>
        </w:tc>
        <w:tc>
          <w:tcPr>
            <w:tcW w:w="28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SnapShooter → DO Spaces / S3</w:t>
            </w:r>
          </w:p>
        </w:tc>
        <w:tc>
          <w:tcPr>
            <w:tcW w:w="20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30–90 days</w:t>
            </w:r>
          </w:p>
        </w:tc>
        <w:tc>
          <w:tcPr>
            <w:tcW w:w="236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OAuth connection to DO</w:t>
            </w:r>
          </w:p>
        </w:tc>
      </w:tr>
      <w:tr w:rsidR="00865D60">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High availability</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DO standby node (hot failover)</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N/A — always on</w:t>
            </w:r>
          </w:p>
        </w:tc>
        <w:tc>
          <w:tcPr>
            <w:tcW w:w="23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Add standby node in DO console</w:t>
            </w:r>
          </w:p>
        </w:tc>
      </w:tr>
      <w:tr w:rsidR="00865D60">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Cold storage backup</w:t>
            </w:r>
          </w:p>
        </w:tc>
        <w:tc>
          <w:tcPr>
            <w:tcW w:w="28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Parquet files on S3 are inherently durable</w:t>
            </w:r>
          </w:p>
        </w:tc>
        <w:tc>
          <w:tcPr>
            <w:tcW w:w="20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11 nines durability</w:t>
            </w:r>
          </w:p>
        </w:tc>
        <w:tc>
          <w:tcPr>
            <w:tcW w:w="236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None — S3 handles it</w:t>
            </w:r>
          </w:p>
        </w:tc>
      </w:tr>
      <w:tr w:rsidR="00865D60">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Disaster recovery</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DO read replica in different region</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Real-time replication</w:t>
            </w:r>
          </w:p>
        </w:tc>
        <w:tc>
          <w:tcPr>
            <w:tcW w:w="23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Add read-only node in DO console</w:t>
            </w:r>
          </w:p>
        </w:tc>
      </w:tr>
    </w:tbl>
    <w:p w:rsidR="00865D60" w:rsidRDefault="00BE3102">
      <w:r>
        <w:br w:type="page"/>
      </w:r>
    </w:p>
    <w:p w:rsidR="00865D60" w:rsidRDefault="00BE3102">
      <w:pPr>
        <w:pStyle w:val="Heading1"/>
      </w:pPr>
      <w:r>
        <w:t>11. Implementation Roadmap</w:t>
      </w:r>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8097"/>
      </w:tblGrid>
      <w:tr w:rsidR="00A27E87" w:rsidTr="00A27E87">
        <w:tblPrEx>
          <w:tblCellMar>
            <w:top w:w="0" w:type="dxa"/>
            <w:bottom w:w="0" w:type="dxa"/>
          </w:tblCellMar>
        </w:tblPrEx>
        <w:trPr>
          <w:tblHeader/>
        </w:trPr>
        <w:tc>
          <w:tcPr>
            <w:tcW w:w="1400" w:type="dxa"/>
            <w:tcBorders>
              <w:top w:val="single" w:sz="1" w:space="0" w:color="D1D5DB"/>
              <w:left w:val="single" w:sz="1" w:space="0" w:color="D1D5DB"/>
              <w:bottom w:val="single" w:sz="1" w:space="0" w:color="D1D5DB"/>
              <w:right w:val="single" w:sz="1" w:space="0" w:color="D1D5DB"/>
            </w:tcBorders>
            <w:shd w:val="clear" w:color="auto" w:fill="0F2044"/>
            <w:tcMar>
              <w:top w:w="100" w:type="dxa"/>
              <w:left w:w="140" w:type="dxa"/>
              <w:bottom w:w="100" w:type="dxa"/>
              <w:right w:w="140" w:type="dxa"/>
            </w:tcMar>
          </w:tcPr>
          <w:p w:rsidR="00A27E87" w:rsidRDefault="00A27E87">
            <w:r>
              <w:rPr>
                <w:b/>
                <w:bCs/>
                <w:color w:val="FFFFFF"/>
                <w:sz w:val="20"/>
                <w:szCs w:val="20"/>
              </w:rPr>
              <w:t>Phase</w:t>
            </w:r>
          </w:p>
        </w:tc>
        <w:tc>
          <w:tcPr>
            <w:tcW w:w="8097" w:type="dxa"/>
            <w:tcBorders>
              <w:top w:val="single" w:sz="1" w:space="0" w:color="D1D5DB"/>
              <w:left w:val="single" w:sz="1" w:space="0" w:color="D1D5DB"/>
              <w:bottom w:val="single" w:sz="1" w:space="0" w:color="D1D5DB"/>
              <w:right w:val="single" w:sz="1" w:space="0" w:color="D1D5DB"/>
            </w:tcBorders>
            <w:shd w:val="clear" w:color="auto" w:fill="0F2044"/>
            <w:tcMar>
              <w:top w:w="100" w:type="dxa"/>
              <w:left w:w="140" w:type="dxa"/>
              <w:bottom w:w="100" w:type="dxa"/>
              <w:right w:w="140" w:type="dxa"/>
            </w:tcMar>
          </w:tcPr>
          <w:p w:rsidR="00A27E87" w:rsidRDefault="00A27E87">
            <w:r>
              <w:rPr>
                <w:b/>
                <w:bCs/>
                <w:color w:val="FFFFFF"/>
                <w:sz w:val="20"/>
                <w:szCs w:val="20"/>
              </w:rPr>
              <w:t>Deliverables</w:t>
            </w:r>
          </w:p>
        </w:tc>
      </w:tr>
      <w:tr w:rsidR="00A27E87" w:rsidTr="00A27E87">
        <w:tblPrEx>
          <w:tblCellMar>
            <w:top w:w="0" w:type="dxa"/>
            <w:bottom w:w="0" w:type="dxa"/>
          </w:tblCellMar>
        </w:tblPrEx>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A27E87" w:rsidRDefault="00A27E87">
            <w:r>
              <w:rPr>
                <w:sz w:val="20"/>
                <w:szCs w:val="20"/>
              </w:rPr>
              <w:t>Phase 1 Foundation</w:t>
            </w:r>
          </w:p>
        </w:tc>
        <w:tc>
          <w:tcPr>
            <w:tcW w:w="8097"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A27E87" w:rsidRDefault="00A27E87">
            <w:r>
              <w:rPr>
                <w:sz w:val="20"/>
                <w:szCs w:val="20"/>
              </w:rPr>
              <w:t>- Provision Master DB + Telemetry DB on DigitalOcean - Implement hybrid JSONB schema on all telemetry tables - Build parameter_master_data and mapping logic - Basic normalization in API layer - Enable auto backups and standby node - Row Level Security policies on all telemetry tables</w:t>
            </w:r>
          </w:p>
        </w:tc>
      </w:tr>
      <w:tr w:rsidR="00A27E87" w:rsidTr="00A27E87">
        <w:tblPrEx>
          <w:tblCellMar>
            <w:top w:w="0" w:type="dxa"/>
            <w:bottom w:w="0" w:type="dxa"/>
          </w:tblCellMar>
        </w:tblPrEx>
        <w:tc>
          <w:tcPr>
            <w:tcW w:w="14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A27E87" w:rsidRDefault="00A27E87">
            <w:r>
              <w:rPr>
                <w:sz w:val="20"/>
                <w:szCs w:val="20"/>
              </w:rPr>
              <w:t>Phase 2 Pipeline</w:t>
            </w:r>
          </w:p>
        </w:tc>
        <w:tc>
          <w:tcPr>
            <w:tcW w:w="8097"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A27E87" w:rsidRDefault="00A27E87">
            <w:r>
              <w:rPr>
                <w:sz w:val="20"/>
                <w:szCs w:val="20"/>
              </w:rPr>
              <w:t>- Deploy RedPanda (Kafka) ingestion buffer - Build standalone worker normalization service - Add PgBouncer connection pooling - Add read replica for dashboard/reporting queries - Build vessel_dashboard_config admin panel - Implement alert detection in worker pipeline</w:t>
            </w:r>
          </w:p>
        </w:tc>
      </w:tr>
      <w:tr w:rsidR="00A27E87" w:rsidTr="00A27E87">
        <w:tblPrEx>
          <w:tblCellMar>
            <w:top w:w="0" w:type="dxa"/>
            <w:bottom w:w="0" w:type="dxa"/>
          </w:tblCellMar>
        </w:tblPrEx>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A27E87" w:rsidRDefault="00A27E87">
            <w:r>
              <w:rPr>
                <w:sz w:val="20"/>
                <w:szCs w:val="20"/>
              </w:rPr>
              <w:t>Phase 3 Tiering</w:t>
            </w:r>
          </w:p>
        </w:tc>
        <w:tc>
          <w:tcPr>
            <w:tcW w:w="8097"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A27E87" w:rsidRDefault="00A27E87">
            <w:r>
              <w:rPr>
                <w:sz w:val="20"/>
                <w:szCs w:val="20"/>
              </w:rPr>
              <w:t>- Implement 90-day retention policy on TimescaleDB - Build nightly Parquet archive job (pg_cron) - Set up DO Spaces cold storage with folder partitioning - Integrate DuckDB for historical Parquet queries - Implement transparent hot/cold merge in API layer - Load test at simulated 1,000-vessel volume</w:t>
            </w:r>
          </w:p>
        </w:tc>
      </w:tr>
      <w:tr w:rsidR="00A27E87" w:rsidTr="00A27E87">
        <w:tblPrEx>
          <w:tblCellMar>
            <w:top w:w="0" w:type="dxa"/>
            <w:bottom w:w="0" w:type="dxa"/>
          </w:tblCellMar>
        </w:tblPrEx>
        <w:tc>
          <w:tcPr>
            <w:tcW w:w="14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A27E87" w:rsidRDefault="00A27E87">
            <w:r>
              <w:rPr>
                <w:sz w:val="20"/>
                <w:szCs w:val="20"/>
              </w:rPr>
              <w:t>Phase 4 Distribution</w:t>
            </w:r>
          </w:p>
        </w:tc>
        <w:tc>
          <w:tcPr>
            <w:tcW w:w="8097"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A27E87" w:rsidRDefault="00A27E87">
            <w:r>
              <w:rPr>
                <w:sz w:val="20"/>
                <w:szCs w:val="20"/>
              </w:rPr>
              <w:t>- Scale Telemetry DB to 32GB RAM - Migrate cold storage to AWS S3 + Athena - Evaluate Citus extension for write sharding - Implement auto-scaling for worker processes - S3 lifecycle tiering policies (IA + Glacier) - Cross-region disaster recovery replica</w:t>
            </w:r>
          </w:p>
        </w:tc>
      </w:tr>
    </w:tbl>
    <w:p w:rsidR="00865D60" w:rsidRDefault="00BE3102">
      <w:r>
        <w:br w:type="page"/>
      </w:r>
      <w:bookmarkStart w:id="0" w:name="_GoBack"/>
      <w:bookmarkEnd w:id="0"/>
    </w:p>
    <w:p w:rsidR="00865D60" w:rsidRDefault="00BE3102">
      <w:pPr>
        <w:pStyle w:val="Heading1"/>
      </w:pPr>
      <w:r>
        <w:t>12. Final Architecture Summary</w:t>
      </w:r>
    </w:p>
    <w:p w:rsidR="00865D60" w:rsidRDefault="00865D6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865D60">
        <w:tblPrEx>
          <w:tblCellMar>
            <w:top w:w="0" w:type="dxa"/>
            <w:bottom w:w="0" w:type="dxa"/>
          </w:tblCellMar>
        </w:tblPrEx>
        <w:trPr>
          <w:tblHeader/>
        </w:trPr>
        <w:tc>
          <w:tcPr>
            <w:tcW w:w="2400" w:type="dxa"/>
            <w:tcBorders>
              <w:top w:val="single" w:sz="1" w:space="0" w:color="D1D5DB"/>
              <w:left w:val="single" w:sz="1" w:space="0" w:color="D1D5DB"/>
              <w:bottom w:val="single" w:sz="1" w:space="0" w:color="D1D5DB"/>
              <w:right w:val="single" w:sz="1" w:space="0" w:color="D1D5DB"/>
            </w:tcBorders>
            <w:shd w:val="clear" w:color="auto" w:fill="0F2044"/>
            <w:tcMar>
              <w:top w:w="100" w:type="dxa"/>
              <w:left w:w="140" w:type="dxa"/>
              <w:bottom w:w="100" w:type="dxa"/>
              <w:right w:w="140" w:type="dxa"/>
            </w:tcMar>
          </w:tcPr>
          <w:p w:rsidR="00865D60" w:rsidRDefault="00BE3102">
            <w:r>
              <w:rPr>
                <w:b/>
                <w:bCs/>
                <w:color w:val="FFFFFF"/>
                <w:sz w:val="20"/>
                <w:szCs w:val="20"/>
              </w:rPr>
              <w:t>Decision</w:t>
            </w:r>
          </w:p>
        </w:tc>
        <w:tc>
          <w:tcPr>
            <w:tcW w:w="2400" w:type="dxa"/>
            <w:tcBorders>
              <w:top w:val="single" w:sz="1" w:space="0" w:color="D1D5DB"/>
              <w:left w:val="single" w:sz="1" w:space="0" w:color="D1D5DB"/>
              <w:bottom w:val="single" w:sz="1" w:space="0" w:color="D1D5DB"/>
              <w:right w:val="single" w:sz="1" w:space="0" w:color="D1D5DB"/>
            </w:tcBorders>
            <w:shd w:val="clear" w:color="auto" w:fill="0F2044"/>
            <w:tcMar>
              <w:top w:w="100" w:type="dxa"/>
              <w:left w:w="140" w:type="dxa"/>
              <w:bottom w:w="100" w:type="dxa"/>
              <w:right w:w="140" w:type="dxa"/>
            </w:tcMar>
          </w:tcPr>
          <w:p w:rsidR="00865D60" w:rsidRDefault="00BE3102">
            <w:r>
              <w:rPr>
                <w:b/>
                <w:bCs/>
                <w:color w:val="FFFFFF"/>
                <w:sz w:val="20"/>
                <w:szCs w:val="20"/>
              </w:rPr>
              <w:t>Final Answer</w:t>
            </w:r>
          </w:p>
        </w:tc>
        <w:tc>
          <w:tcPr>
            <w:tcW w:w="4560" w:type="dxa"/>
            <w:tcBorders>
              <w:top w:val="single" w:sz="1" w:space="0" w:color="D1D5DB"/>
              <w:left w:val="single" w:sz="1" w:space="0" w:color="D1D5DB"/>
              <w:bottom w:val="single" w:sz="1" w:space="0" w:color="D1D5DB"/>
              <w:right w:val="single" w:sz="1" w:space="0" w:color="D1D5DB"/>
            </w:tcBorders>
            <w:shd w:val="clear" w:color="auto" w:fill="0F2044"/>
            <w:tcMar>
              <w:top w:w="100" w:type="dxa"/>
              <w:left w:w="140" w:type="dxa"/>
              <w:bottom w:w="100" w:type="dxa"/>
              <w:right w:w="140" w:type="dxa"/>
            </w:tcMar>
          </w:tcPr>
          <w:p w:rsidR="00865D60" w:rsidRDefault="00BE3102">
            <w:r>
              <w:rPr>
                <w:b/>
                <w:bCs/>
                <w:color w:val="FFFFFF"/>
                <w:sz w:val="20"/>
                <w:szCs w:val="20"/>
              </w:rPr>
              <w:t>Rationale</w:t>
            </w:r>
          </w:p>
        </w:tc>
      </w:tr>
      <w:tr w:rsidR="00865D60">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MongoDB vs TimescaleDB</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TimescaleDB</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Wins on every dimension except horizontal writes — which Citus resolves with one SQL command</w:t>
            </w:r>
          </w:p>
        </w:tc>
      </w:tr>
      <w:tr w:rsidR="00865D60">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Horizontal write scaling</w:t>
            </w:r>
          </w:p>
        </w:tc>
        <w:tc>
          <w:tcPr>
            <w:tcW w:w="24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Kafka buffer + Citus extension</w:t>
            </w:r>
          </w:p>
        </w:tc>
        <w:tc>
          <w:tcPr>
            <w:tcW w:w="456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Permanent solution. Zero rewrites. Handles 10 to 50,000+ vessels on identical architecture</w:t>
            </w:r>
          </w:p>
        </w:tc>
      </w:tr>
      <w:tr w:rsidR="00865D60">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Schema flexibility</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Hybrid normalized + JSONB</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MongoDB-level flexibility inside PostgreSQL. No technology change needed</w:t>
            </w:r>
          </w:p>
        </w:tc>
      </w:tr>
      <w:tr w:rsidR="00865D60">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Tenancy model</w:t>
            </w:r>
          </w:p>
        </w:tc>
        <w:tc>
          <w:tcPr>
            <w:tcW w:w="24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Shared cluster + RLS</w:t>
            </w:r>
          </w:p>
        </w:tc>
        <w:tc>
          <w:tcPr>
            <w:tcW w:w="456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Avoids migration hell. 10–50x cheaper than per-client clusters. Equal data isolation</w:t>
            </w:r>
          </w:p>
        </w:tc>
      </w:tr>
      <w:tr w:rsidR="00865D60">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Dedicated clusters</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Enterprise tier only</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Only for 50+ vessel clients with contractual isolation requirements at premium pricing</w:t>
            </w:r>
          </w:p>
        </w:tc>
      </w:tr>
      <w:tr w:rsidR="00865D60">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Database clusters</w:t>
            </w:r>
          </w:p>
        </w:tc>
        <w:tc>
          <w:tcPr>
            <w:tcW w:w="24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2 total (Master + Telemetry)</w:t>
            </w:r>
          </w:p>
        </w:tc>
        <w:tc>
          <w:tcPr>
            <w:tcW w:w="456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Clean separation of reference data from time-series. Independent scaling.</w:t>
            </w:r>
          </w:p>
        </w:tc>
      </w:tr>
      <w:tr w:rsidR="00865D60">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Hot storage</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TimescaleDB 90 days</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Millisecond queries. Auto-compression after 7 days reduces cost 20x</w:t>
            </w:r>
          </w:p>
        </w:tc>
      </w:tr>
      <w:tr w:rsidR="00865D60">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Cold storage</w:t>
            </w:r>
          </w:p>
        </w:tc>
        <w:tc>
          <w:tcPr>
            <w:tcW w:w="24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Parquet on DO Spaces → S3</w:t>
            </w:r>
          </w:p>
        </w:tc>
        <w:tc>
          <w:tcPr>
            <w:tcW w:w="456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2–5 second historical queries. 10–50x cheaper than Postgres storage</w:t>
            </w:r>
          </w:p>
        </w:tc>
      </w:tr>
      <w:tr w:rsidR="00865D60">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Ingestion layer</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Kafka / RedPanda</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The permanent scaling layer. Decouples vessel count from DB write pressure completely</w:t>
            </w:r>
          </w:p>
        </w:tc>
      </w:tr>
      <w:tr w:rsidR="00865D60">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Write scaling path</w:t>
            </w:r>
          </w:p>
        </w:tc>
        <w:tc>
          <w:tcPr>
            <w:tcW w:w="24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Citus (when needed)</w:t>
            </w:r>
          </w:p>
        </w:tc>
        <w:tc>
          <w:tcPr>
            <w:tcW w:w="456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One SQL command. No schema change. No code change. Full SQL preserved</w:t>
            </w:r>
          </w:p>
        </w:tc>
      </w:tr>
      <w:tr w:rsidR="00865D60">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Backups</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DO PITR + SnapShooter</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7-day built-in PITR, extended retention via SnapShooter to S3</w:t>
            </w:r>
          </w:p>
        </w:tc>
      </w:tr>
      <w:tr w:rsidR="00865D60">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Starting cost</w:t>
            </w:r>
          </w:p>
        </w:tc>
        <w:tc>
          <w:tcPr>
            <w:tcW w:w="24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~$65/month</w:t>
            </w:r>
          </w:p>
        </w:tc>
        <w:tc>
          <w:tcPr>
            <w:tcW w:w="456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Single-node clusters, scales up progressively</w:t>
            </w:r>
          </w:p>
        </w:tc>
      </w:tr>
      <w:tr w:rsidR="00865D60">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Production HA cost</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~$500/month</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rsidR="00865D60" w:rsidRDefault="00BE3102">
            <w:r>
              <w:rPr>
                <w:sz w:val="20"/>
                <w:szCs w:val="20"/>
              </w:rPr>
              <w:t>500 vessels, full HA, Kafka pipeline, read replica</w:t>
            </w:r>
          </w:p>
        </w:tc>
      </w:tr>
      <w:tr w:rsidR="00865D60">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Full scale cost</w:t>
            </w:r>
          </w:p>
        </w:tc>
        <w:tc>
          <w:tcPr>
            <w:tcW w:w="24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~$1,500/month</w:t>
            </w:r>
          </w:p>
        </w:tc>
        <w:tc>
          <w:tcPr>
            <w:tcW w:w="456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40" w:type="dxa"/>
              <w:bottom w:w="100" w:type="dxa"/>
              <w:right w:w="140" w:type="dxa"/>
            </w:tcMar>
          </w:tcPr>
          <w:p w:rsidR="00865D60" w:rsidRDefault="00BE3102">
            <w:r>
              <w:rPr>
                <w:sz w:val="20"/>
                <w:szCs w:val="20"/>
              </w:rPr>
              <w:t>10,000 vessels — vs $2,500+ for MongoDB equivalent</w:t>
            </w:r>
          </w:p>
        </w:tc>
      </w:tr>
    </w:tbl>
    <w:p w:rsidR="00865D60" w:rsidRDefault="00865D60"/>
    <w:p w:rsidR="00865D60" w:rsidRDefault="00865D6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65D6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2044"/>
            <w:tcMar>
              <w:top w:w="280" w:type="dxa"/>
              <w:left w:w="400" w:type="dxa"/>
              <w:bottom w:w="280" w:type="dxa"/>
              <w:right w:w="400" w:type="dxa"/>
            </w:tcMar>
          </w:tcPr>
          <w:p w:rsidR="00865D60" w:rsidRDefault="00BE3102">
            <w:pPr>
              <w:spacing w:after="100"/>
              <w:jc w:val="center"/>
            </w:pPr>
            <w:r>
              <w:rPr>
                <w:b/>
                <w:bCs/>
                <w:color w:val="FFFFFF"/>
                <w:sz w:val="28"/>
                <w:szCs w:val="28"/>
              </w:rPr>
              <w:t>This architecture is permanent.</w:t>
            </w:r>
          </w:p>
          <w:p w:rsidR="00865D60" w:rsidRDefault="00BE3102">
            <w:pPr>
              <w:spacing w:after="100"/>
              <w:jc w:val="center"/>
            </w:pPr>
            <w:r>
              <w:rPr>
                <w:color w:val="BFDBFE"/>
              </w:rPr>
              <w:t>The same schema, the same two clusters, and the same application code</w:t>
            </w:r>
          </w:p>
          <w:p w:rsidR="00865D60" w:rsidRDefault="00BE3102">
            <w:pPr>
              <w:spacing w:after="100"/>
              <w:jc w:val="center"/>
            </w:pPr>
            <w:r>
              <w:rPr>
                <w:color w:val="BFDBFE"/>
              </w:rPr>
              <w:t>handle 10 vessels on day one and 10,000 vessels at full scale.</w:t>
            </w:r>
          </w:p>
          <w:p w:rsidR="00865D60" w:rsidRDefault="00BE3102">
            <w:pPr>
              <w:jc w:val="center"/>
            </w:pPr>
            <w:r>
              <w:rPr>
                <w:color w:val="93C5FD"/>
                <w:sz w:val="20"/>
                <w:szCs w:val="20"/>
              </w:rPr>
              <w:t>Only the number of Kafka partitions, worker instances, and database nodes changes — and all of that is configuration.</w:t>
            </w:r>
          </w:p>
        </w:tc>
      </w:tr>
    </w:tbl>
    <w:p w:rsidR="00BE3102" w:rsidRDefault="00BE3102"/>
    <w:sectPr w:rsidR="00BE3102">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E3102" w:rsidRDefault="00BE3102">
      <w:r>
        <w:separator/>
      </w:r>
    </w:p>
  </w:endnote>
  <w:endnote w:type="continuationSeparator" w:id="0">
    <w:p w:rsidR="00BE3102" w:rsidRDefault="00BE31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5D60" w:rsidRDefault="00BE3102">
    <w:pPr>
      <w:pBdr>
        <w:top w:val="single" w:sz="4" w:space="4" w:color="2563EB"/>
      </w:pBdr>
      <w:jc w:val="center"/>
    </w:pPr>
    <w:r>
      <w:rPr>
        <w:color w:val="6B7280"/>
        <w:sz w:val="18"/>
        <w:szCs w:val="18"/>
      </w:rPr>
      <w:t xml:space="preserve">Fleet Monitoring Platform  —  Database Architecture Report   |   Page </w:t>
    </w:r>
    <w:r>
      <w:rPr>
        <w:color w:val="6B7280"/>
        <w:sz w:val="18"/>
        <w:szCs w:val="18"/>
      </w:rPr>
      <w:fldChar w:fldCharType="begin"/>
    </w:r>
    <w:r>
      <w:rPr>
        <w:color w:val="6B7280"/>
        <w:sz w:val="18"/>
        <w:szCs w:val="18"/>
      </w:rPr>
      <w:instrText>PAGE</w:instrText>
    </w:r>
    <w:r w:rsidR="00A27E87">
      <w:rPr>
        <w:color w:val="6B7280"/>
        <w:sz w:val="18"/>
        <w:szCs w:val="18"/>
      </w:rPr>
      <w:fldChar w:fldCharType="separate"/>
    </w:r>
    <w:r>
      <w:rPr>
        <w:noProof/>
        <w:color w:val="6B7280"/>
        <w:sz w:val="18"/>
        <w:szCs w:val="18"/>
      </w:rPr>
      <w:t>1</w:t>
    </w:r>
    <w:r>
      <w:rPr>
        <w:color w:val="6B7280"/>
        <w:sz w:val="18"/>
        <w:szCs w:val="18"/>
      </w:rPr>
      <w:fldChar w:fldCharType="end"/>
    </w:r>
    <w:r>
      <w:rPr>
        <w:color w:val="6B7280"/>
        <w:sz w:val="18"/>
        <w:szCs w:val="18"/>
      </w:rPr>
      <w:t xml:space="preserve"> of </w:t>
    </w:r>
    <w:r>
      <w:rPr>
        <w:color w:val="6B7280"/>
        <w:sz w:val="18"/>
        <w:szCs w:val="18"/>
      </w:rPr>
      <w:fldChar w:fldCharType="begin"/>
    </w:r>
    <w:r>
      <w:rPr>
        <w:color w:val="6B7280"/>
        <w:sz w:val="18"/>
        <w:szCs w:val="18"/>
      </w:rPr>
      <w:instrText>NUMPAGES</w:instrText>
    </w:r>
    <w:r w:rsidR="00A27E87">
      <w:rPr>
        <w:color w:val="6B7280"/>
        <w:sz w:val="18"/>
        <w:szCs w:val="18"/>
      </w:rPr>
      <w:fldChar w:fldCharType="separate"/>
    </w:r>
    <w:r>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E3102" w:rsidRDefault="00BE3102">
      <w:r>
        <w:separator/>
      </w:r>
    </w:p>
  </w:footnote>
  <w:footnote w:type="continuationSeparator" w:id="0">
    <w:p w:rsidR="00BE3102" w:rsidRDefault="00BE31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E64692"/>
    <w:multiLevelType w:val="hybridMultilevel"/>
    <w:tmpl w:val="00BEC34A"/>
    <w:lvl w:ilvl="0" w:tplc="76FC03E6">
      <w:start w:val="1"/>
      <w:numFmt w:val="decimal"/>
      <w:lvlText w:val="%1."/>
      <w:lvlJc w:val="left"/>
      <w:pPr>
        <w:ind w:left="720" w:hanging="360"/>
      </w:pPr>
    </w:lvl>
    <w:lvl w:ilvl="1" w:tplc="E72046DC">
      <w:numFmt w:val="decimal"/>
      <w:lvlText w:val=""/>
      <w:lvlJc w:val="left"/>
    </w:lvl>
    <w:lvl w:ilvl="2" w:tplc="E84412EA">
      <w:numFmt w:val="decimal"/>
      <w:lvlText w:val=""/>
      <w:lvlJc w:val="left"/>
    </w:lvl>
    <w:lvl w:ilvl="3" w:tplc="DA822642">
      <w:numFmt w:val="decimal"/>
      <w:lvlText w:val=""/>
      <w:lvlJc w:val="left"/>
    </w:lvl>
    <w:lvl w:ilvl="4" w:tplc="FA16D8EA">
      <w:numFmt w:val="decimal"/>
      <w:lvlText w:val=""/>
      <w:lvlJc w:val="left"/>
    </w:lvl>
    <w:lvl w:ilvl="5" w:tplc="1B9C8CFC">
      <w:numFmt w:val="decimal"/>
      <w:lvlText w:val=""/>
      <w:lvlJc w:val="left"/>
    </w:lvl>
    <w:lvl w:ilvl="6" w:tplc="449EB20A">
      <w:numFmt w:val="decimal"/>
      <w:lvlText w:val=""/>
      <w:lvlJc w:val="left"/>
    </w:lvl>
    <w:lvl w:ilvl="7" w:tplc="DABAB24C">
      <w:numFmt w:val="decimal"/>
      <w:lvlText w:val=""/>
      <w:lvlJc w:val="left"/>
    </w:lvl>
    <w:lvl w:ilvl="8" w:tplc="A336FDFA">
      <w:numFmt w:val="decimal"/>
      <w:lvlText w:val=""/>
      <w:lvlJc w:val="left"/>
    </w:lvl>
  </w:abstractNum>
  <w:abstractNum w:abstractNumId="1" w15:restartNumberingAfterBreak="0">
    <w:nsid w:val="42ED41E0"/>
    <w:multiLevelType w:val="hybridMultilevel"/>
    <w:tmpl w:val="E8C0A028"/>
    <w:lvl w:ilvl="0" w:tplc="CED20918">
      <w:start w:val="1"/>
      <w:numFmt w:val="bullet"/>
      <w:lvlText w:val="•"/>
      <w:lvlJc w:val="left"/>
      <w:pPr>
        <w:ind w:left="720" w:hanging="360"/>
      </w:pPr>
    </w:lvl>
    <w:lvl w:ilvl="1" w:tplc="187EECBC">
      <w:start w:val="1"/>
      <w:numFmt w:val="bullet"/>
      <w:lvlText w:val="◦"/>
      <w:lvlJc w:val="left"/>
      <w:pPr>
        <w:ind w:left="1080" w:hanging="360"/>
      </w:pPr>
    </w:lvl>
    <w:lvl w:ilvl="2" w:tplc="96B669CE">
      <w:numFmt w:val="decimal"/>
      <w:lvlText w:val=""/>
      <w:lvlJc w:val="left"/>
    </w:lvl>
    <w:lvl w:ilvl="3" w:tplc="9BC09934">
      <w:numFmt w:val="decimal"/>
      <w:lvlText w:val=""/>
      <w:lvlJc w:val="left"/>
    </w:lvl>
    <w:lvl w:ilvl="4" w:tplc="E3C48786">
      <w:numFmt w:val="decimal"/>
      <w:lvlText w:val=""/>
      <w:lvlJc w:val="left"/>
    </w:lvl>
    <w:lvl w:ilvl="5" w:tplc="9D52DDB4">
      <w:numFmt w:val="decimal"/>
      <w:lvlText w:val=""/>
      <w:lvlJc w:val="left"/>
    </w:lvl>
    <w:lvl w:ilvl="6" w:tplc="FFF2A5FE">
      <w:numFmt w:val="decimal"/>
      <w:lvlText w:val=""/>
      <w:lvlJc w:val="left"/>
    </w:lvl>
    <w:lvl w:ilvl="7" w:tplc="822A1F76">
      <w:numFmt w:val="decimal"/>
      <w:lvlText w:val=""/>
      <w:lvlJc w:val="left"/>
    </w:lvl>
    <w:lvl w:ilvl="8" w:tplc="34144298">
      <w:numFmt w:val="decimal"/>
      <w:lvlText w:val=""/>
      <w:lvlJc w:val="left"/>
    </w:lvl>
  </w:abstractNum>
  <w:abstractNum w:abstractNumId="2" w15:restartNumberingAfterBreak="0">
    <w:nsid w:val="7CE3747A"/>
    <w:multiLevelType w:val="hybridMultilevel"/>
    <w:tmpl w:val="980C74A6"/>
    <w:lvl w:ilvl="0" w:tplc="A89A98AE">
      <w:start w:val="1"/>
      <w:numFmt w:val="bullet"/>
      <w:lvlText w:val="●"/>
      <w:lvlJc w:val="left"/>
      <w:pPr>
        <w:ind w:left="720" w:hanging="360"/>
      </w:pPr>
    </w:lvl>
    <w:lvl w:ilvl="1" w:tplc="F33A80C2">
      <w:start w:val="1"/>
      <w:numFmt w:val="bullet"/>
      <w:lvlText w:val="○"/>
      <w:lvlJc w:val="left"/>
      <w:pPr>
        <w:ind w:left="1440" w:hanging="360"/>
      </w:pPr>
    </w:lvl>
    <w:lvl w:ilvl="2" w:tplc="3364C9D4">
      <w:start w:val="1"/>
      <w:numFmt w:val="bullet"/>
      <w:lvlText w:val="■"/>
      <w:lvlJc w:val="left"/>
      <w:pPr>
        <w:ind w:left="2160" w:hanging="360"/>
      </w:pPr>
    </w:lvl>
    <w:lvl w:ilvl="3" w:tplc="6E46EE3C">
      <w:start w:val="1"/>
      <w:numFmt w:val="bullet"/>
      <w:lvlText w:val="●"/>
      <w:lvlJc w:val="left"/>
      <w:pPr>
        <w:ind w:left="2880" w:hanging="360"/>
      </w:pPr>
    </w:lvl>
    <w:lvl w:ilvl="4" w:tplc="0C5A2B34">
      <w:start w:val="1"/>
      <w:numFmt w:val="bullet"/>
      <w:lvlText w:val="○"/>
      <w:lvlJc w:val="left"/>
      <w:pPr>
        <w:ind w:left="3600" w:hanging="360"/>
      </w:pPr>
    </w:lvl>
    <w:lvl w:ilvl="5" w:tplc="C4E63340">
      <w:start w:val="1"/>
      <w:numFmt w:val="bullet"/>
      <w:lvlText w:val="■"/>
      <w:lvlJc w:val="left"/>
      <w:pPr>
        <w:ind w:left="4320" w:hanging="360"/>
      </w:pPr>
    </w:lvl>
    <w:lvl w:ilvl="6" w:tplc="91C22A3C">
      <w:start w:val="1"/>
      <w:numFmt w:val="bullet"/>
      <w:lvlText w:val="●"/>
      <w:lvlJc w:val="left"/>
      <w:pPr>
        <w:ind w:left="5040" w:hanging="360"/>
      </w:pPr>
    </w:lvl>
    <w:lvl w:ilvl="7" w:tplc="9ABA5A36">
      <w:start w:val="1"/>
      <w:numFmt w:val="bullet"/>
      <w:lvlText w:val="●"/>
      <w:lvlJc w:val="left"/>
      <w:pPr>
        <w:ind w:left="5760" w:hanging="360"/>
      </w:pPr>
    </w:lvl>
    <w:lvl w:ilvl="8" w:tplc="2914571E">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5D60"/>
    <w:rsid w:val="00865D60"/>
    <w:rsid w:val="00A27E87"/>
    <w:rsid w:val="00BE3102"/>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85233"/>
  <w15:docId w15:val="{09B165EC-C2AC-477E-A048-AD21C4153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111827"/>
        <w:sz w:val="22"/>
        <w:szCs w:val="22"/>
        <w:lang w:val="en-SG" w:eastAsia="en-SG"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480" w:after="160"/>
      <w:outlineLvl w:val="0"/>
    </w:pPr>
    <w:rPr>
      <w:b/>
      <w:bCs/>
      <w:color w:val="0F2044"/>
      <w:sz w:val="38"/>
      <w:szCs w:val="38"/>
    </w:rPr>
  </w:style>
  <w:style w:type="paragraph" w:styleId="Heading2">
    <w:name w:val="heading 2"/>
    <w:qFormat/>
    <w:pPr>
      <w:spacing w:before="320" w:after="120"/>
      <w:outlineLvl w:val="1"/>
    </w:pPr>
    <w:rPr>
      <w:b/>
      <w:bCs/>
      <w:color w:val="1E40AF"/>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23</Pages>
  <Words>4368</Words>
  <Characters>24901</Characters>
  <Application>Microsoft Office Word</Application>
  <DocSecurity>0</DocSecurity>
  <Lines>207</Lines>
  <Paragraphs>58</Paragraphs>
  <ScaleCrop>false</ScaleCrop>
  <Company>HP</Company>
  <LinksUpToDate>false</LinksUpToDate>
  <CharactersWithSpaces>29211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Shakil Ahmmed Joy</cp:lastModifiedBy>
  <cp:revision>2</cp:revision>
  <dcterms:created xsi:type="dcterms:W3CDTF">2026-03-11T09:10:00Z</dcterms:created>
  <dcterms:modified xsi:type="dcterms:W3CDTF">2026-03-11T09:38:00Z</dcterms:modified>
</cp:coreProperties>
</file>