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7CC7" w14:textId="77777777" w:rsidR="00DD5CAE" w:rsidRPr="00DD5CAE" w:rsidRDefault="00DD5CAE" w:rsidP="00DD5CAE">
      <w:r w:rsidRPr="00DD5CAE">
        <w:pict w14:anchorId="250FA5C3">
          <v:rect id="_x0000_i1151" style="width:0;height:1.5pt" o:hralign="center" o:hrstd="t" o:hr="t" fillcolor="#a0a0a0" stroked="f"/>
        </w:pict>
      </w:r>
    </w:p>
    <w:p w14:paraId="51F9A5EC" w14:textId="77777777" w:rsidR="00DD5CAE" w:rsidRPr="00DD5CAE" w:rsidRDefault="00DD5CAE" w:rsidP="00DD5CAE">
      <w:pPr>
        <w:rPr>
          <w:b/>
          <w:bCs/>
        </w:rPr>
      </w:pPr>
      <w:r w:rsidRPr="00DD5CAE">
        <w:rPr>
          <w:b/>
          <w:bCs/>
        </w:rPr>
        <w:t>Complete Explanation of All Columns in BMW Sales Performance Dataset</w:t>
      </w:r>
    </w:p>
    <w:p w14:paraId="715F4172" w14:textId="77777777" w:rsidR="00DD5CAE" w:rsidRPr="00DD5CAE" w:rsidRDefault="00DD5CAE" w:rsidP="00DD5CAE">
      <w:pPr>
        <w:rPr>
          <w:b/>
          <w:bCs/>
        </w:rPr>
      </w:pPr>
      <w:r w:rsidRPr="00DD5CAE">
        <w:rPr>
          <w:b/>
          <w:bCs/>
        </w:rPr>
        <w:t>year</w:t>
      </w:r>
    </w:p>
    <w:p w14:paraId="6E5EB623" w14:textId="77777777" w:rsidR="00DD5CAE" w:rsidRPr="00DD5CAE" w:rsidRDefault="00DD5CAE" w:rsidP="00DD5CAE">
      <w:r w:rsidRPr="00DD5CAE">
        <w:t xml:space="preserve">The </w:t>
      </w:r>
      <w:r w:rsidRPr="00DD5CAE">
        <w:rPr>
          <w:b/>
          <w:bCs/>
        </w:rPr>
        <w:t>year</w:t>
      </w:r>
      <w:r w:rsidRPr="00DD5CAE">
        <w:t xml:space="preserve"> column represents the calendar year in which BMW sales observations were recorded. This column helps track long-term business performance across multiple years and allows analysts to compare how BMW sales evolve under changing economic conditions, customer preferences, and market competition. When used in trend analysis, it helps identify whether sales are growing consistently, declining, or responding to external events such as economic recovery, inflation, or changes in automobile demand.</w:t>
      </w:r>
    </w:p>
    <w:p w14:paraId="427E4324" w14:textId="77777777" w:rsidR="00DD5CAE" w:rsidRPr="00DD5CAE" w:rsidRDefault="00DD5CAE" w:rsidP="00DD5CAE">
      <w:r w:rsidRPr="00DD5CAE">
        <w:pict w14:anchorId="6456E076">
          <v:rect id="_x0000_i1152" style="width:0;height:1.5pt" o:hralign="center" o:hrstd="t" o:hr="t" fillcolor="#a0a0a0" stroked="f"/>
        </w:pict>
      </w:r>
    </w:p>
    <w:p w14:paraId="00E2A19C" w14:textId="77777777" w:rsidR="00DD5CAE" w:rsidRPr="00DD5CAE" w:rsidRDefault="00DD5CAE" w:rsidP="00DD5CAE">
      <w:pPr>
        <w:rPr>
          <w:b/>
          <w:bCs/>
        </w:rPr>
      </w:pPr>
      <w:r w:rsidRPr="00DD5CAE">
        <w:rPr>
          <w:b/>
          <w:bCs/>
        </w:rPr>
        <w:t>month</w:t>
      </w:r>
    </w:p>
    <w:p w14:paraId="115E95DF" w14:textId="77777777" w:rsidR="00DD5CAE" w:rsidRPr="00DD5CAE" w:rsidRDefault="00DD5CAE" w:rsidP="00DD5CAE">
      <w:r w:rsidRPr="00DD5CAE">
        <w:t xml:space="preserve">The </w:t>
      </w:r>
      <w:r w:rsidRPr="00DD5CAE">
        <w:rPr>
          <w:b/>
          <w:bCs/>
        </w:rPr>
        <w:t>month</w:t>
      </w:r>
      <w:r w:rsidRPr="00DD5CAE">
        <w:t xml:space="preserve"> column captures the monthly sales period within each year. This is essential for identifying seasonality in automobile demand because vehicle purchases often fluctuate depending on festive seasons, financial year-end buying behaviour, promotional campaigns, and market launches. Monthly analysis helps reveal periods where customer demand is strongest and supports forecasting future sales cycles.</w:t>
      </w:r>
    </w:p>
    <w:p w14:paraId="74A84854" w14:textId="77777777" w:rsidR="00DD5CAE" w:rsidRPr="00DD5CAE" w:rsidRDefault="00DD5CAE" w:rsidP="00DD5CAE">
      <w:r w:rsidRPr="00DD5CAE">
        <w:pict w14:anchorId="73EDF8AA">
          <v:rect id="_x0000_i1153" style="width:0;height:1.5pt" o:hralign="center" o:hrstd="t" o:hr="t" fillcolor="#a0a0a0" stroked="f"/>
        </w:pict>
      </w:r>
    </w:p>
    <w:p w14:paraId="76EBAC52" w14:textId="77777777" w:rsidR="00DD5CAE" w:rsidRPr="00DD5CAE" w:rsidRDefault="00DD5CAE" w:rsidP="00DD5CAE">
      <w:pPr>
        <w:rPr>
          <w:b/>
          <w:bCs/>
        </w:rPr>
      </w:pPr>
      <w:r w:rsidRPr="00DD5CAE">
        <w:rPr>
          <w:b/>
          <w:bCs/>
        </w:rPr>
        <w:t>region</w:t>
      </w:r>
    </w:p>
    <w:p w14:paraId="4A3EBA4D" w14:textId="77777777" w:rsidR="00DD5CAE" w:rsidRPr="00DD5CAE" w:rsidRDefault="00DD5CAE" w:rsidP="00DD5CAE">
      <w:r w:rsidRPr="00DD5CAE">
        <w:t xml:space="preserve">The </w:t>
      </w:r>
      <w:r w:rsidRPr="00DD5CAE">
        <w:rPr>
          <w:b/>
          <w:bCs/>
        </w:rPr>
        <w:t>region</w:t>
      </w:r>
      <w:r w:rsidRPr="00DD5CAE">
        <w:t xml:space="preserve"> column identifies the geographical market where BMW sales occurred, such as Europe, Asia, North America, or other sales territories. Regional segmentation is highly important because automobile demand varies based on economic strength, customer purchasing power, infrastructure quality, fuel costs, and local competition. This column allows businesses to understand which markets contribute most strongly to BMW revenue and where strategic expansion may be needed.</w:t>
      </w:r>
    </w:p>
    <w:p w14:paraId="637E0731" w14:textId="77777777" w:rsidR="00DD5CAE" w:rsidRPr="00DD5CAE" w:rsidRDefault="00DD5CAE" w:rsidP="00DD5CAE">
      <w:r w:rsidRPr="00DD5CAE">
        <w:pict w14:anchorId="0B697DE2">
          <v:rect id="_x0000_i1154" style="width:0;height:1.5pt" o:hralign="center" o:hrstd="t" o:hr="t" fillcolor="#a0a0a0" stroked="f"/>
        </w:pict>
      </w:r>
    </w:p>
    <w:p w14:paraId="74E6E03A" w14:textId="77777777" w:rsidR="00DD5CAE" w:rsidRPr="00DD5CAE" w:rsidRDefault="00DD5CAE" w:rsidP="00DD5CAE">
      <w:pPr>
        <w:rPr>
          <w:b/>
          <w:bCs/>
        </w:rPr>
      </w:pPr>
      <w:r w:rsidRPr="00DD5CAE">
        <w:rPr>
          <w:b/>
          <w:bCs/>
        </w:rPr>
        <w:t>model</w:t>
      </w:r>
    </w:p>
    <w:p w14:paraId="583513D2" w14:textId="77777777" w:rsidR="00DD5CAE" w:rsidRPr="00DD5CAE" w:rsidRDefault="00DD5CAE" w:rsidP="00DD5CAE">
      <w:r w:rsidRPr="00DD5CAE">
        <w:t xml:space="preserve">The </w:t>
      </w:r>
      <w:r w:rsidRPr="00DD5CAE">
        <w:rPr>
          <w:b/>
          <w:bCs/>
        </w:rPr>
        <w:t>model</w:t>
      </w:r>
      <w:r w:rsidRPr="00DD5CAE">
        <w:t xml:space="preserve"> column specifies the individual BMW vehicle model sold, such as 3 Series, 5 Series, X3, X5, X7, or i4. This column is one of the most critical dimensions because each model belongs to a different customer segment, price category, and market purpose. Sedan models often attract business and executive buyers, SUVs appeal to family and luxury buyers, while electric models indicate technology-driven demand. Model-level analysis helps identify which vehicles drive overall revenue and brand performance.</w:t>
      </w:r>
    </w:p>
    <w:p w14:paraId="074637C8" w14:textId="77777777" w:rsidR="00DD5CAE" w:rsidRPr="00DD5CAE" w:rsidRDefault="00DD5CAE" w:rsidP="00DD5CAE">
      <w:r w:rsidRPr="00DD5CAE">
        <w:pict w14:anchorId="690EFEC5">
          <v:rect id="_x0000_i1155" style="width:0;height:1.5pt" o:hralign="center" o:hrstd="t" o:hr="t" fillcolor="#a0a0a0" stroked="f"/>
        </w:pict>
      </w:r>
    </w:p>
    <w:p w14:paraId="2BD6BAFD" w14:textId="77777777" w:rsidR="00DD5CAE" w:rsidRPr="00DD5CAE" w:rsidRDefault="00DD5CAE" w:rsidP="00DD5CAE">
      <w:pPr>
        <w:rPr>
          <w:b/>
          <w:bCs/>
        </w:rPr>
      </w:pPr>
      <w:proofErr w:type="spellStart"/>
      <w:r w:rsidRPr="00DD5CAE">
        <w:rPr>
          <w:b/>
          <w:bCs/>
        </w:rPr>
        <w:t>units_sold</w:t>
      </w:r>
      <w:proofErr w:type="spellEnd"/>
    </w:p>
    <w:p w14:paraId="67D052C0" w14:textId="77777777" w:rsidR="00DD5CAE" w:rsidRPr="00DD5CAE" w:rsidRDefault="00DD5CAE" w:rsidP="00DD5CAE">
      <w:r w:rsidRPr="00DD5CAE">
        <w:t xml:space="preserve">The </w:t>
      </w:r>
      <w:proofErr w:type="spellStart"/>
      <w:r w:rsidRPr="00DD5CAE">
        <w:rPr>
          <w:b/>
          <w:bCs/>
        </w:rPr>
        <w:t>units_sold</w:t>
      </w:r>
      <w:proofErr w:type="spellEnd"/>
      <w:r w:rsidRPr="00DD5CAE">
        <w:t xml:space="preserve"> column represents the number of vehicles sold for each model within a given period and region. It directly measures customer demand and market acceptance. High units sold indicate strong consumer preference, successful pricing, or favourable market conditions. Comparing units sold across models helps identify volume leaders, while comparing across regions reveals demand concentration patterns.</w:t>
      </w:r>
    </w:p>
    <w:p w14:paraId="3E037D98" w14:textId="77777777" w:rsidR="00DD5CAE" w:rsidRPr="00DD5CAE" w:rsidRDefault="00DD5CAE" w:rsidP="00DD5CAE">
      <w:r w:rsidRPr="00DD5CAE">
        <w:pict w14:anchorId="7F50CA31">
          <v:rect id="_x0000_i1156" style="width:0;height:1.5pt" o:hralign="center" o:hrstd="t" o:hr="t" fillcolor="#a0a0a0" stroked="f"/>
        </w:pict>
      </w:r>
    </w:p>
    <w:p w14:paraId="26F61500" w14:textId="77777777" w:rsidR="00DD5CAE" w:rsidRPr="00DD5CAE" w:rsidRDefault="00DD5CAE" w:rsidP="00DD5CAE">
      <w:pPr>
        <w:rPr>
          <w:b/>
          <w:bCs/>
        </w:rPr>
      </w:pPr>
      <w:proofErr w:type="spellStart"/>
      <w:r w:rsidRPr="00DD5CAE">
        <w:rPr>
          <w:b/>
          <w:bCs/>
        </w:rPr>
        <w:lastRenderedPageBreak/>
        <w:t>avg_price_eur</w:t>
      </w:r>
      <w:proofErr w:type="spellEnd"/>
    </w:p>
    <w:p w14:paraId="4990603D" w14:textId="77777777" w:rsidR="00DD5CAE" w:rsidRPr="00DD5CAE" w:rsidRDefault="00DD5CAE" w:rsidP="00DD5CAE">
      <w:r w:rsidRPr="00DD5CAE">
        <w:t xml:space="preserve">The </w:t>
      </w:r>
      <w:proofErr w:type="spellStart"/>
      <w:r w:rsidRPr="00DD5CAE">
        <w:rPr>
          <w:b/>
          <w:bCs/>
        </w:rPr>
        <w:t>avg_price_eur</w:t>
      </w:r>
      <w:proofErr w:type="spellEnd"/>
      <w:r w:rsidRPr="00DD5CAE">
        <w:t xml:space="preserve"> column shows the average selling price of each BMW model in euros. This reflects pricing strategy, premium positioning, and customer willingness to pay. Higher average price usually indicates luxury positioning, advanced features, or larger vehicles. Comparing average price with units sold helps determine whether premium pricing affects sales positively or creates demand limitations.</w:t>
      </w:r>
    </w:p>
    <w:p w14:paraId="42C8E9B0" w14:textId="77777777" w:rsidR="00DD5CAE" w:rsidRPr="00DD5CAE" w:rsidRDefault="00DD5CAE" w:rsidP="00DD5CAE">
      <w:r w:rsidRPr="00DD5CAE">
        <w:pict w14:anchorId="5969B8F4">
          <v:rect id="_x0000_i1157" style="width:0;height:1.5pt" o:hralign="center" o:hrstd="t" o:hr="t" fillcolor="#a0a0a0" stroked="f"/>
        </w:pict>
      </w:r>
    </w:p>
    <w:p w14:paraId="30B9E380" w14:textId="77777777" w:rsidR="00DD5CAE" w:rsidRPr="00DD5CAE" w:rsidRDefault="00DD5CAE" w:rsidP="00DD5CAE">
      <w:pPr>
        <w:rPr>
          <w:b/>
          <w:bCs/>
        </w:rPr>
      </w:pPr>
      <w:proofErr w:type="spellStart"/>
      <w:r w:rsidRPr="00DD5CAE">
        <w:rPr>
          <w:b/>
          <w:bCs/>
        </w:rPr>
        <w:t>revenue_eur</w:t>
      </w:r>
      <w:proofErr w:type="spellEnd"/>
    </w:p>
    <w:p w14:paraId="665961D1" w14:textId="77777777" w:rsidR="00DD5CAE" w:rsidRPr="00DD5CAE" w:rsidRDefault="00DD5CAE" w:rsidP="00DD5CAE">
      <w:r w:rsidRPr="00DD5CAE">
        <w:t xml:space="preserve">The </w:t>
      </w:r>
      <w:proofErr w:type="spellStart"/>
      <w:r w:rsidRPr="00DD5CAE">
        <w:rPr>
          <w:b/>
          <w:bCs/>
        </w:rPr>
        <w:t>revenue_eur</w:t>
      </w:r>
      <w:proofErr w:type="spellEnd"/>
      <w:r w:rsidRPr="00DD5CAE">
        <w:t xml:space="preserve"> column represents total revenue generated by multiplying units sold by average price. This is the strongest financial performance indicator in the dataset because it shows actual business contribution from each model and region. A model may sell fewer units but still generate high revenue if its average price is significantly higher, making this column critical for identifying true profitability drivers.</w:t>
      </w:r>
    </w:p>
    <w:p w14:paraId="0E0A713C" w14:textId="77777777" w:rsidR="00DD5CAE" w:rsidRPr="00DD5CAE" w:rsidRDefault="00DD5CAE" w:rsidP="00DD5CAE">
      <w:r w:rsidRPr="00DD5CAE">
        <w:pict w14:anchorId="47E94BEC">
          <v:rect id="_x0000_i1158" style="width:0;height:1.5pt" o:hralign="center" o:hrstd="t" o:hr="t" fillcolor="#a0a0a0" stroked="f"/>
        </w:pict>
      </w:r>
    </w:p>
    <w:p w14:paraId="41A6CA43" w14:textId="77777777" w:rsidR="00DD5CAE" w:rsidRPr="00DD5CAE" w:rsidRDefault="00DD5CAE" w:rsidP="00DD5CAE">
      <w:pPr>
        <w:rPr>
          <w:b/>
          <w:bCs/>
        </w:rPr>
      </w:pPr>
      <w:proofErr w:type="spellStart"/>
      <w:r w:rsidRPr="00DD5CAE">
        <w:rPr>
          <w:b/>
          <w:bCs/>
        </w:rPr>
        <w:t>bev_share</w:t>
      </w:r>
      <w:proofErr w:type="spellEnd"/>
    </w:p>
    <w:p w14:paraId="36AA4069" w14:textId="77777777" w:rsidR="00DD5CAE" w:rsidRPr="00DD5CAE" w:rsidRDefault="00DD5CAE" w:rsidP="00DD5CAE">
      <w:r w:rsidRPr="00DD5CAE">
        <w:t xml:space="preserve">The </w:t>
      </w:r>
      <w:proofErr w:type="spellStart"/>
      <w:r w:rsidRPr="00DD5CAE">
        <w:rPr>
          <w:b/>
          <w:bCs/>
        </w:rPr>
        <w:t>bev_share</w:t>
      </w:r>
      <w:proofErr w:type="spellEnd"/>
      <w:r w:rsidRPr="00DD5CAE">
        <w:t xml:space="preserve"> column indicates BMW’s Battery Electric Vehicle market share within that observation period. This reflects how strongly electric vehicle demand is influencing BMW sales in a particular market. Higher BEV share suggests stronger acceptance of electric mobility, sustainability trends, charging infrastructure maturity, and environmental policy influence. This column is especially important for understanding future automotive market transformation.</w:t>
      </w:r>
    </w:p>
    <w:p w14:paraId="3C75CE57" w14:textId="77777777" w:rsidR="00DD5CAE" w:rsidRPr="00DD5CAE" w:rsidRDefault="00DD5CAE" w:rsidP="00DD5CAE">
      <w:r w:rsidRPr="00DD5CAE">
        <w:pict w14:anchorId="5C126A0F">
          <v:rect id="_x0000_i1159" style="width:0;height:1.5pt" o:hralign="center" o:hrstd="t" o:hr="t" fillcolor="#a0a0a0" stroked="f"/>
        </w:pict>
      </w:r>
    </w:p>
    <w:p w14:paraId="0E79C36A" w14:textId="77777777" w:rsidR="00DD5CAE" w:rsidRPr="00DD5CAE" w:rsidRDefault="00DD5CAE" w:rsidP="00DD5CAE">
      <w:pPr>
        <w:rPr>
          <w:b/>
          <w:bCs/>
        </w:rPr>
      </w:pPr>
      <w:proofErr w:type="spellStart"/>
      <w:r w:rsidRPr="00DD5CAE">
        <w:rPr>
          <w:b/>
          <w:bCs/>
        </w:rPr>
        <w:t>premium_share</w:t>
      </w:r>
      <w:proofErr w:type="spellEnd"/>
    </w:p>
    <w:p w14:paraId="704A6AE2" w14:textId="77777777" w:rsidR="00DD5CAE" w:rsidRPr="00DD5CAE" w:rsidRDefault="00DD5CAE" w:rsidP="00DD5CAE">
      <w:r w:rsidRPr="00DD5CAE">
        <w:t xml:space="preserve">The </w:t>
      </w:r>
      <w:proofErr w:type="spellStart"/>
      <w:r w:rsidRPr="00DD5CAE">
        <w:rPr>
          <w:b/>
          <w:bCs/>
        </w:rPr>
        <w:t>premium_share</w:t>
      </w:r>
      <w:proofErr w:type="spellEnd"/>
      <w:r w:rsidRPr="00DD5CAE">
        <w:t xml:space="preserve"> column measures BMW’s share within the premium automobile segment of that region. Since BMW competes directly in the premium market, this column helps evaluate competitive strength against luxury rivals. A higher premium share indicates strong brand dominance, premium customer loyalty, and market leadership.</w:t>
      </w:r>
    </w:p>
    <w:p w14:paraId="71F354D6" w14:textId="77777777" w:rsidR="00DD5CAE" w:rsidRPr="00DD5CAE" w:rsidRDefault="00DD5CAE" w:rsidP="00DD5CAE">
      <w:r w:rsidRPr="00DD5CAE">
        <w:pict w14:anchorId="497BACAC">
          <v:rect id="_x0000_i1160" style="width:0;height:1.5pt" o:hralign="center" o:hrstd="t" o:hr="t" fillcolor="#a0a0a0" stroked="f"/>
        </w:pict>
      </w:r>
    </w:p>
    <w:p w14:paraId="1F0A95F2" w14:textId="77777777" w:rsidR="00DD5CAE" w:rsidRPr="00DD5CAE" w:rsidRDefault="00DD5CAE" w:rsidP="00DD5CAE">
      <w:pPr>
        <w:rPr>
          <w:b/>
          <w:bCs/>
        </w:rPr>
      </w:pPr>
      <w:proofErr w:type="spellStart"/>
      <w:r w:rsidRPr="00DD5CAE">
        <w:rPr>
          <w:b/>
          <w:bCs/>
        </w:rPr>
        <w:t>gdp_growth</w:t>
      </w:r>
      <w:proofErr w:type="spellEnd"/>
    </w:p>
    <w:p w14:paraId="742736A8" w14:textId="77777777" w:rsidR="00DD5CAE" w:rsidRPr="00DD5CAE" w:rsidRDefault="00DD5CAE" w:rsidP="00DD5CAE">
      <w:r w:rsidRPr="00DD5CAE">
        <w:t xml:space="preserve">The </w:t>
      </w:r>
      <w:proofErr w:type="spellStart"/>
      <w:r w:rsidRPr="00DD5CAE">
        <w:rPr>
          <w:b/>
          <w:bCs/>
        </w:rPr>
        <w:t>gdp_growth</w:t>
      </w:r>
      <w:proofErr w:type="spellEnd"/>
      <w:r w:rsidRPr="00DD5CAE">
        <w:t xml:space="preserve"> column represents regional economic growth rate during the observed sales period. GDP growth strongly affects automobile purchasing because vehicle sales generally rise when economic conditions improve and customer confidence increases. Positive GDP growth often supports higher premium vehicle demand because consumers feel financially secure enough to make large purchases.</w:t>
      </w:r>
    </w:p>
    <w:p w14:paraId="1F68D1C1" w14:textId="77777777" w:rsidR="00DD5CAE" w:rsidRPr="00DD5CAE" w:rsidRDefault="00DD5CAE" w:rsidP="00DD5CAE">
      <w:r w:rsidRPr="00DD5CAE">
        <w:pict w14:anchorId="289C198E">
          <v:rect id="_x0000_i1161" style="width:0;height:1.5pt" o:hralign="center" o:hrstd="t" o:hr="t" fillcolor="#a0a0a0" stroked="f"/>
        </w:pict>
      </w:r>
    </w:p>
    <w:p w14:paraId="1343A35F" w14:textId="77777777" w:rsidR="00DD5CAE" w:rsidRPr="00DD5CAE" w:rsidRDefault="00DD5CAE" w:rsidP="00DD5CAE">
      <w:pPr>
        <w:rPr>
          <w:b/>
          <w:bCs/>
        </w:rPr>
      </w:pPr>
      <w:proofErr w:type="spellStart"/>
      <w:r w:rsidRPr="00DD5CAE">
        <w:rPr>
          <w:b/>
          <w:bCs/>
        </w:rPr>
        <w:t>fuel_price_index</w:t>
      </w:r>
      <w:proofErr w:type="spellEnd"/>
    </w:p>
    <w:p w14:paraId="24DF2737" w14:textId="77777777" w:rsidR="00DD5CAE" w:rsidRPr="00DD5CAE" w:rsidRDefault="00DD5CAE" w:rsidP="00DD5CAE">
      <w:r w:rsidRPr="00DD5CAE">
        <w:t xml:space="preserve">The </w:t>
      </w:r>
      <w:proofErr w:type="spellStart"/>
      <w:r w:rsidRPr="00DD5CAE">
        <w:rPr>
          <w:b/>
          <w:bCs/>
        </w:rPr>
        <w:t>fuel_price_index</w:t>
      </w:r>
      <w:proofErr w:type="spellEnd"/>
      <w:r w:rsidRPr="00DD5CAE">
        <w:t xml:space="preserve"> column reflects fuel price movement in the market during that period. Fuel costs directly influence customer purchasing decisions, especially between traditional fuel vehicles and electric vehicles. Higher fuel prices often encourage demand for electric or fuel-efficient vehicles, while lower fuel prices may reduce urgency for EV adoption.</w:t>
      </w:r>
    </w:p>
    <w:p w14:paraId="1FF02932" w14:textId="77777777" w:rsidR="00DD5CAE" w:rsidRPr="00DD5CAE" w:rsidRDefault="00DD5CAE" w:rsidP="00DD5CAE">
      <w:r w:rsidRPr="00DD5CAE">
        <w:lastRenderedPageBreak/>
        <w:pict w14:anchorId="078D129D">
          <v:rect id="_x0000_i1162" style="width:0;height:1.5pt" o:hralign="center" o:hrstd="t" o:hr="t" fillcolor="#a0a0a0" stroked="f"/>
        </w:pict>
      </w:r>
    </w:p>
    <w:p w14:paraId="5B693030" w14:textId="77777777" w:rsidR="00DD5CAE" w:rsidRPr="00DD5CAE" w:rsidRDefault="00DD5CAE" w:rsidP="00DD5CAE">
      <w:pPr>
        <w:rPr>
          <w:b/>
          <w:bCs/>
        </w:rPr>
      </w:pPr>
      <w:r w:rsidRPr="00DD5CAE">
        <w:rPr>
          <w:b/>
          <w:bCs/>
        </w:rPr>
        <w:t>Feature Engineered Columns (If You Created Them)</w:t>
      </w:r>
    </w:p>
    <w:p w14:paraId="6D6A9726" w14:textId="77777777" w:rsidR="00DD5CAE" w:rsidRPr="00DD5CAE" w:rsidRDefault="00DD5CAE" w:rsidP="00DD5CAE">
      <w:r w:rsidRPr="00DD5CAE">
        <w:t>These columns are highly valuable because they increase insight depth.</w:t>
      </w:r>
    </w:p>
    <w:p w14:paraId="2D35745B" w14:textId="77777777" w:rsidR="00DD5CAE" w:rsidRPr="00DD5CAE" w:rsidRDefault="00DD5CAE" w:rsidP="00DD5CAE">
      <w:r w:rsidRPr="00DD5CAE">
        <w:pict w14:anchorId="4A0FC316">
          <v:rect id="_x0000_i1163" style="width:0;height:1.5pt" o:hralign="center" o:hrstd="t" o:hr="t" fillcolor="#a0a0a0" stroked="f"/>
        </w:pict>
      </w:r>
    </w:p>
    <w:p w14:paraId="76BDA218" w14:textId="77777777" w:rsidR="00DD5CAE" w:rsidRPr="00DD5CAE" w:rsidRDefault="00DD5CAE" w:rsidP="00DD5CAE">
      <w:pPr>
        <w:rPr>
          <w:b/>
          <w:bCs/>
        </w:rPr>
      </w:pPr>
      <w:proofErr w:type="spellStart"/>
      <w:r w:rsidRPr="00DD5CAE">
        <w:rPr>
          <w:b/>
          <w:bCs/>
        </w:rPr>
        <w:t>revenue_per_unit</w:t>
      </w:r>
      <w:proofErr w:type="spellEnd"/>
    </w:p>
    <w:p w14:paraId="64006728" w14:textId="77777777" w:rsidR="00DD5CAE" w:rsidRPr="00DD5CAE" w:rsidRDefault="00DD5CAE" w:rsidP="00DD5CAE">
      <w:r w:rsidRPr="00DD5CAE">
        <w:t>This column shows exact revenue generated per vehicle sold. It helps measure pricing efficiency and understand which models generate stronger value even when sales volume differs.</w:t>
      </w:r>
    </w:p>
    <w:p w14:paraId="7E824DDB" w14:textId="77777777" w:rsidR="00DD5CAE" w:rsidRPr="00DD5CAE" w:rsidRDefault="00DD5CAE" w:rsidP="00DD5CAE">
      <w:r w:rsidRPr="00DD5CAE">
        <w:pict w14:anchorId="59BC09B8">
          <v:rect id="_x0000_i1164" style="width:0;height:1.5pt" o:hralign="center" o:hrstd="t" o:hr="t" fillcolor="#a0a0a0" stroked="f"/>
        </w:pict>
      </w:r>
    </w:p>
    <w:p w14:paraId="67F1D313" w14:textId="77777777" w:rsidR="00DD5CAE" w:rsidRPr="00DD5CAE" w:rsidRDefault="00DD5CAE" w:rsidP="00DD5CAE">
      <w:pPr>
        <w:rPr>
          <w:b/>
          <w:bCs/>
        </w:rPr>
      </w:pPr>
      <w:proofErr w:type="spellStart"/>
      <w:r w:rsidRPr="00DD5CAE">
        <w:rPr>
          <w:b/>
          <w:bCs/>
        </w:rPr>
        <w:t>price_segment</w:t>
      </w:r>
      <w:proofErr w:type="spellEnd"/>
    </w:p>
    <w:p w14:paraId="433B7E4E" w14:textId="77777777" w:rsidR="00DD5CAE" w:rsidRPr="00DD5CAE" w:rsidRDefault="00DD5CAE" w:rsidP="00DD5CAE">
      <w:r w:rsidRPr="00DD5CAE">
        <w:t>This classifies BMW models into premium categories such as Entry Premium, Mid Premium, Luxury Premium, and Ultra Luxury. It simplifies segmentation and improves dashboard storytelling.</w:t>
      </w:r>
    </w:p>
    <w:p w14:paraId="5C696095" w14:textId="77777777" w:rsidR="00DD5CAE" w:rsidRPr="00DD5CAE" w:rsidRDefault="00DD5CAE" w:rsidP="00DD5CAE">
      <w:r w:rsidRPr="00DD5CAE">
        <w:pict w14:anchorId="1DCDB2CF">
          <v:rect id="_x0000_i1165" style="width:0;height:1.5pt" o:hralign="center" o:hrstd="t" o:hr="t" fillcolor="#a0a0a0" stroked="f"/>
        </w:pict>
      </w:r>
    </w:p>
    <w:p w14:paraId="51AB23B2" w14:textId="77777777" w:rsidR="00DD5CAE" w:rsidRPr="00DD5CAE" w:rsidRDefault="00DD5CAE" w:rsidP="00DD5CAE">
      <w:pPr>
        <w:rPr>
          <w:b/>
          <w:bCs/>
        </w:rPr>
      </w:pPr>
      <w:proofErr w:type="spellStart"/>
      <w:r w:rsidRPr="00DD5CAE">
        <w:rPr>
          <w:b/>
          <w:bCs/>
        </w:rPr>
        <w:t>bev_category</w:t>
      </w:r>
      <w:proofErr w:type="spellEnd"/>
    </w:p>
    <w:p w14:paraId="2D854F43" w14:textId="77777777" w:rsidR="00DD5CAE" w:rsidRPr="00DD5CAE" w:rsidRDefault="00DD5CAE" w:rsidP="00DD5CAE">
      <w:r w:rsidRPr="00DD5CAE">
        <w:t>This groups EV share into demand levels, helping analysts understand whether EV adoption is low, moderate, or strong across markets.</w:t>
      </w:r>
    </w:p>
    <w:p w14:paraId="6E3E90E2" w14:textId="77777777" w:rsidR="00DD5CAE" w:rsidRPr="00DD5CAE" w:rsidRDefault="00DD5CAE" w:rsidP="00DD5CAE">
      <w:r w:rsidRPr="00DD5CAE">
        <w:pict w14:anchorId="7751764E">
          <v:rect id="_x0000_i1166" style="width:0;height:1.5pt" o:hralign="center" o:hrstd="t" o:hr="t" fillcolor="#a0a0a0" stroked="f"/>
        </w:pict>
      </w:r>
    </w:p>
    <w:p w14:paraId="71491C3E" w14:textId="77777777" w:rsidR="00DD5CAE" w:rsidRPr="00DD5CAE" w:rsidRDefault="00DD5CAE" w:rsidP="00DD5CAE">
      <w:pPr>
        <w:rPr>
          <w:b/>
          <w:bCs/>
        </w:rPr>
      </w:pPr>
      <w:proofErr w:type="spellStart"/>
      <w:r w:rsidRPr="00DD5CAE">
        <w:rPr>
          <w:b/>
          <w:bCs/>
        </w:rPr>
        <w:t>market_strength_index</w:t>
      </w:r>
      <w:proofErr w:type="spellEnd"/>
    </w:p>
    <w:p w14:paraId="1CCD7754" w14:textId="77777777" w:rsidR="00DD5CAE" w:rsidRPr="00DD5CAE" w:rsidRDefault="00DD5CAE" w:rsidP="00DD5CAE">
      <w:r w:rsidRPr="00DD5CAE">
        <w:t>This combines premium share and GDP growth to estimate overall market attractiveness for BMW sales.</w:t>
      </w:r>
    </w:p>
    <w:p w14:paraId="11678E49" w14:textId="77777777" w:rsidR="00DD5CAE" w:rsidRPr="00DD5CAE" w:rsidRDefault="00DD5CAE" w:rsidP="00DD5CAE">
      <w:r w:rsidRPr="00DD5CAE">
        <w:pict w14:anchorId="0B3476A4">
          <v:rect id="_x0000_i1167" style="width:0;height:1.5pt" o:hralign="center" o:hrstd="t" o:hr="t" fillcolor="#a0a0a0" stroked="f"/>
        </w:pict>
      </w:r>
    </w:p>
    <w:p w14:paraId="4CCA45E9" w14:textId="77777777" w:rsidR="00DD5CAE" w:rsidRPr="00DD5CAE" w:rsidRDefault="00DD5CAE" w:rsidP="00DD5CAE">
      <w:pPr>
        <w:rPr>
          <w:b/>
          <w:bCs/>
        </w:rPr>
      </w:pPr>
      <w:proofErr w:type="spellStart"/>
      <w:r w:rsidRPr="00DD5CAE">
        <w:rPr>
          <w:b/>
          <w:bCs/>
        </w:rPr>
        <w:t>fuel_sensitivity_score</w:t>
      </w:r>
      <w:proofErr w:type="spellEnd"/>
    </w:p>
    <w:p w14:paraId="06E8C8C0" w14:textId="77777777" w:rsidR="00DD5CAE" w:rsidRPr="00DD5CAE" w:rsidRDefault="00DD5CAE" w:rsidP="00DD5CAE">
      <w:r w:rsidRPr="00DD5CAE">
        <w:t>This measures how strongly sales may react to fuel price changes by combining units sold and fuel price influence.</w:t>
      </w:r>
    </w:p>
    <w:p w14:paraId="2B6A1DB5" w14:textId="77777777" w:rsidR="00DD5CAE" w:rsidRPr="00DD5CAE" w:rsidRDefault="00DD5CAE" w:rsidP="00DD5CAE">
      <w:r w:rsidRPr="00DD5CAE">
        <w:pict w14:anchorId="76B81F0E">
          <v:rect id="_x0000_i1168" style="width:0;height:1.5pt" o:hralign="center" o:hrstd="t" o:hr="t" fillcolor="#a0a0a0" stroked="f"/>
        </w:pict>
      </w:r>
    </w:p>
    <w:p w14:paraId="210265D3" w14:textId="77777777" w:rsidR="00DD5CAE" w:rsidRPr="00DD5CAE" w:rsidRDefault="00DD5CAE" w:rsidP="00DD5CAE">
      <w:pPr>
        <w:rPr>
          <w:b/>
          <w:bCs/>
        </w:rPr>
      </w:pPr>
      <w:proofErr w:type="spellStart"/>
      <w:r w:rsidRPr="00DD5CAE">
        <w:rPr>
          <w:b/>
          <w:bCs/>
        </w:rPr>
        <w:t>revenue_contribution_pct</w:t>
      </w:r>
      <w:proofErr w:type="spellEnd"/>
    </w:p>
    <w:p w14:paraId="7409048D" w14:textId="77777777" w:rsidR="00DD5CAE" w:rsidRPr="00DD5CAE" w:rsidRDefault="00DD5CAE" w:rsidP="00DD5CAE">
      <w:r w:rsidRPr="00DD5CAE">
        <w:t>This shows how much each model contributes to total company revenue as a percentage.</w:t>
      </w:r>
    </w:p>
    <w:p w14:paraId="19007835" w14:textId="77777777" w:rsidR="00DD5CAE" w:rsidRPr="00DD5CAE" w:rsidRDefault="00DD5CAE" w:rsidP="00DD5CAE">
      <w:r w:rsidRPr="00DD5CAE">
        <w:pict w14:anchorId="108C661B">
          <v:rect id="_x0000_i1169" style="width:0;height:1.5pt" o:hralign="center" o:hrstd="t" o:hr="t" fillcolor="#a0a0a0" stroked="f"/>
        </w:pict>
      </w:r>
    </w:p>
    <w:p w14:paraId="42103AC8" w14:textId="77777777" w:rsidR="00DD5CAE" w:rsidRPr="00DD5CAE" w:rsidRDefault="00DD5CAE" w:rsidP="00DD5CAE">
      <w:pPr>
        <w:rPr>
          <w:b/>
          <w:bCs/>
        </w:rPr>
      </w:pPr>
      <w:proofErr w:type="spellStart"/>
      <w:r w:rsidRPr="00DD5CAE">
        <w:rPr>
          <w:b/>
          <w:bCs/>
        </w:rPr>
        <w:t>premium_demand_score</w:t>
      </w:r>
      <w:proofErr w:type="spellEnd"/>
    </w:p>
    <w:p w14:paraId="03ABE6F9" w14:textId="77777777" w:rsidR="00DD5CAE" w:rsidRPr="00DD5CAE" w:rsidRDefault="00DD5CAE" w:rsidP="00DD5CAE">
      <w:r w:rsidRPr="00DD5CAE">
        <w:t>This combines price and premium share to estimate premium market demand intensity.</w:t>
      </w:r>
    </w:p>
    <w:p w14:paraId="74C8898A" w14:textId="77777777" w:rsidR="00DD5CAE" w:rsidRPr="00DD5CAE" w:rsidRDefault="00DD5CAE" w:rsidP="00DD5CAE">
      <w:r w:rsidRPr="00DD5CAE">
        <w:pict w14:anchorId="7535E3C3">
          <v:rect id="_x0000_i1170" style="width:0;height:1.5pt" o:hralign="center" o:hrstd="t" o:hr="t" fillcolor="#a0a0a0" stroked="f"/>
        </w:pict>
      </w:r>
    </w:p>
    <w:p w14:paraId="040A97AE" w14:textId="77777777" w:rsidR="00E75A94" w:rsidRDefault="00E75A94"/>
    <w:sectPr w:rsidR="00E75A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AE"/>
    <w:rsid w:val="00536F02"/>
    <w:rsid w:val="00B92008"/>
    <w:rsid w:val="00DD5CAE"/>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060C1"/>
  <w15:chartTrackingRefBased/>
  <w15:docId w15:val="{068D2A48-BFE3-452D-B0AD-249B65C9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C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C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C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C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C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C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AE"/>
    <w:rPr>
      <w:rFonts w:eastAsiaTheme="majorEastAsia" w:cstheme="majorBidi"/>
      <w:color w:val="272727" w:themeColor="text1" w:themeTint="D8"/>
    </w:rPr>
  </w:style>
  <w:style w:type="paragraph" w:styleId="Title">
    <w:name w:val="Title"/>
    <w:basedOn w:val="Normal"/>
    <w:next w:val="Normal"/>
    <w:link w:val="TitleChar"/>
    <w:uiPriority w:val="10"/>
    <w:qFormat/>
    <w:rsid w:val="00DD5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AE"/>
    <w:pPr>
      <w:spacing w:before="160"/>
      <w:jc w:val="center"/>
    </w:pPr>
    <w:rPr>
      <w:i/>
      <w:iCs/>
      <w:color w:val="404040" w:themeColor="text1" w:themeTint="BF"/>
    </w:rPr>
  </w:style>
  <w:style w:type="character" w:customStyle="1" w:styleId="QuoteChar">
    <w:name w:val="Quote Char"/>
    <w:basedOn w:val="DefaultParagraphFont"/>
    <w:link w:val="Quote"/>
    <w:uiPriority w:val="29"/>
    <w:rsid w:val="00DD5CAE"/>
    <w:rPr>
      <w:i/>
      <w:iCs/>
      <w:color w:val="404040" w:themeColor="text1" w:themeTint="BF"/>
    </w:rPr>
  </w:style>
  <w:style w:type="paragraph" w:styleId="ListParagraph">
    <w:name w:val="List Paragraph"/>
    <w:basedOn w:val="Normal"/>
    <w:uiPriority w:val="34"/>
    <w:qFormat/>
    <w:rsid w:val="00DD5CAE"/>
    <w:pPr>
      <w:ind w:left="720"/>
      <w:contextualSpacing/>
    </w:pPr>
  </w:style>
  <w:style w:type="character" w:styleId="IntenseEmphasis">
    <w:name w:val="Intense Emphasis"/>
    <w:basedOn w:val="DefaultParagraphFont"/>
    <w:uiPriority w:val="21"/>
    <w:qFormat/>
    <w:rsid w:val="00DD5CAE"/>
    <w:rPr>
      <w:i/>
      <w:iCs/>
      <w:color w:val="2F5496" w:themeColor="accent1" w:themeShade="BF"/>
    </w:rPr>
  </w:style>
  <w:style w:type="paragraph" w:styleId="IntenseQuote">
    <w:name w:val="Intense Quote"/>
    <w:basedOn w:val="Normal"/>
    <w:next w:val="Normal"/>
    <w:link w:val="IntenseQuoteChar"/>
    <w:uiPriority w:val="30"/>
    <w:qFormat/>
    <w:rsid w:val="00DD5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CAE"/>
    <w:rPr>
      <w:i/>
      <w:iCs/>
      <w:color w:val="2F5496" w:themeColor="accent1" w:themeShade="BF"/>
    </w:rPr>
  </w:style>
  <w:style w:type="character" w:styleId="IntenseReference">
    <w:name w:val="Intense Reference"/>
    <w:basedOn w:val="DefaultParagraphFont"/>
    <w:uiPriority w:val="32"/>
    <w:qFormat/>
    <w:rsid w:val="00DD5C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1</cp:revision>
  <dcterms:created xsi:type="dcterms:W3CDTF">2026-03-17T16:30:00Z</dcterms:created>
  <dcterms:modified xsi:type="dcterms:W3CDTF">2026-03-17T16:30:00Z</dcterms:modified>
</cp:coreProperties>
</file>