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1F3B5B"/>
          <w:sz w:val="56"/>
          <w:szCs w:val="56"/>
        </w:rPr>
        <w:t xml:space="preserve">SEduM-аналитика</w:t>
      </w:r>
    </w:p>
    <w:p>
      <w:pPr>
        <w:spacing w:after="40"/>
      </w:pPr>
      <w:r>
        <w:rPr>
          <w:b/>
          <w:bCs/>
          <w:color w:val="2E75B6"/>
          <w:sz w:val="30"/>
          <w:szCs w:val="30"/>
        </w:rPr>
        <w:t xml:space="preserve">R&amp;D-отчёт: реалистичность и доказательная база «глубоких» модулей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Камера · носимые устройства · «нейро»-сигналы · предрасположенность к обучению · движок рекомендаций · этика и право</w:t>
      </w:r>
    </w:p>
    <w:p>
      <w:pPr>
        <w:pBdr>
          <w:top w:val="single" w:color="2E75B6" w:sz="12" w:space="6"/>
        </w:pBdr>
        <w:spacing w:after="20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Продукт: </w:t>
      </w:r>
      <w:r>
        <w:t xml:space="preserve">Flamingo — онлайн-образование (РФ/СНГ, 1–11 классы и взрослые)</w:t>
      </w:r>
    </w:p>
    <w:p>
      <w:pPr>
        <w:spacing w:after="140" w:line="276"/>
      </w:pPr>
      <w:r>
        <w:rPr>
          <w:b/>
          <w:bCs/>
        </w:rPr>
        <w:t xml:space="preserve">Модуль: </w:t>
      </w:r>
      <w:r>
        <w:t xml:space="preserve">SEduM — лонгитюдный анализ вовлечённости (тренды, а не разовый «диагноз»)</w:t>
      </w:r>
    </w:p>
    <w:p>
      <w:pPr>
        <w:spacing w:after="140" w:line="276"/>
      </w:pPr>
      <w:r>
        <w:rPr>
          <w:b/>
          <w:bCs/>
        </w:rPr>
        <w:t xml:space="preserve">Текущая база: </w:t>
      </w:r>
      <w:r>
        <w:t xml:space="preserve">веб-камера (MediaPipe / CMF): внимание, открытость глаз, направление взгляда, поза головы</w:t>
      </w:r>
    </w:p>
    <w:p>
      <w:pPr>
        <w:spacing w:after="140" w:line="276"/>
      </w:pPr>
      <w:r>
        <w:rPr>
          <w:b/>
          <w:bCs/>
        </w:rPr>
        <w:t xml:space="preserve">Принцип приватности: </w:t>
      </w:r>
      <w:r>
        <w:t xml:space="preserve">сырые биометрические сигналы не покидают устройство (152-ФЗ); на сервер — только агрегаты</w:t>
      </w:r>
    </w:p>
    <w:p>
      <w:pPr>
        <w:spacing w:after="140" w:line="276"/>
      </w:pPr>
      <w:r>
        <w:rPr>
          <w:b/>
          <w:bCs/>
        </w:rPr>
        <w:t xml:space="preserve">Дата: </w:t>
      </w:r>
      <w:r>
        <w:t xml:space="preserve">17 июня 2026 г.</w:t>
      </w:r>
      <w:r>
        <w:t xml:space="preserve">        </w:t>
      </w:r>
      <w:r>
        <w:rPr>
          <w:b/>
          <w:bCs/>
        </w:rPr>
        <w:t xml:space="preserve">Статус: </w:t>
      </w:r>
      <w:r>
        <w:t xml:space="preserve">внутренний R&amp;D + материал для инвестиционной презентации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B5B"/>
              </w:rPr>
              <w:t xml:space="preserve">Как читать этот отчёт — три уровня честности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Demo-grade vs лабораторное: </w:t>
            </w:r>
            <w:r>
              <w:t xml:space="preserve">почти все «красивые» цифры точности взяты из контролируемых лабораторных условий с калибровкой под человека. На дешёвой ноутбучной камере в обычной комнате точность падает — для части сигналов критически.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Доказательное vs псевдонаука: </w:t>
            </w:r>
            <w:r>
              <w:t xml:space="preserve">мы отделяем воспроизведённые научные результаты (интервальное повторение, циркадные ритмы подростков) от развенчанного (теория «стилей обучения», MBTI) и от спорного (распознавание эмоций по лицу).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Защитимо vs overclaim: </w:t>
            </w:r>
            <w:r>
              <w:t xml:space="preserve">для каждого заявления указано, можно ли его честно произносить перед инвесторами и регулятором — или это правовой/научный риск.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Резюме для руководства</w:t>
      </w:r>
    </w:p>
    <w:p>
      <w:pPr>
        <w:spacing w:after="140" w:line="276"/>
      </w:pPr>
      <w:r>
        <w:t xml:space="preserve">SEduM можно превратить в эффектный и одновременно научно и юридически защитимый продукт. Но для этого нужно отказаться от двух соблазнов, которые губят почти все edtech-стартапы в этой нише: (1) «распознавания эмоций» ученика по лицу и (2) фиксированных «диагнозов» способностей у детей. Оба — и юридический, и научный тупик. Хорошая новость: то, что реально надёжно работает, и так достаточно для сильного продукта.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FBE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B5B"/>
              </w:rPr>
              <w:t xml:space="preserve">⚠ Главный юридический факт — прочитать первым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EU AI Act, статья 5(1)(f), действует с 2 февраля 2025 г.: </w:t>
            </w:r>
            <w:r>
              <w:t xml:space="preserve">использование ИИ для вывода эмоций учащихся в образовательных учреждениях ПРЯМО ЗАПРЕЩЕНО (это запрещённая практика, а не «высокий риск»), кроме медицинских целей и целей безопасности. Штраф — до €35 млн или 7% мирового оборота.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Официальное руководство Еврокомиссии </w:t>
            </w:r>
            <w:r>
              <w:t xml:space="preserve">приводит в качестве примера запрещённой практики ровно то, что делал бы «эмоциональный» SEduM: </w:t>
            </w:r>
            <w:r>
              <w:rPr>
                <w:i/>
                <w:iCs/>
              </w:rPr>
              <w:t xml:space="preserve">«образовательное учреждение, использующее систему распознавания эмоций для вывода интереса и внимания учащихся»</w:t>
            </w:r>
            <w:r>
              <w:t xml:space="preserve">. Запрет распространяется на онлайн- и дистанционное обучение, все возрасты.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Вывод: </w:t>
            </w:r>
            <w:r>
              <w:t xml:space="preserve">распознавание эмоций по лицу нельзя делать ядром SEduM при любой международной амбиции. Это не вопрос вкуса — это прямой запрет в крупнейшем регулируемом рынке.</w:t>
            </w:r>
          </w:p>
        </w:tc>
      </w:tr>
    </w:tbl>
    <w:p>
      <w:pPr>
        <w:pStyle w:val="Heading2"/>
      </w:pPr>
      <w:r>
        <w:t xml:space="preserve">Что из этого следует — восемь тезисов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Камера надёжна только в «геометрии». </w:t>
      </w:r>
      <w:r>
        <w:t xml:space="preserve">Поза головы (ошибка ~3–6°) — на уровне продакшна; моргание и закрытие глаз — надёжно при хорошем свете; направление взгляда — только грубо, по зонам экрана, с калибровкой. Их следует подавать как поведенческие прокси («лицо ориентировано на экран», «глаза закрыты», «отвёл взгляд»), а не как измерение внутреннего состояния.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Эмоции по лицу (FER) — исключить. </w:t>
      </w:r>
      <w:r>
        <w:t xml:space="preserve">Научно спорно на уровне самого конструкта (обзор Barrett et al., 2019), точность даже в лаборатории всего ~63–75%, и это прямо запрещено в образовании ЕС. Двойной риск.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Пульс с камеры (rPPG) — опционально, как грубый тренд. </w:t>
      </w:r>
      <w:r>
        <w:t xml:space="preserve">Реальная ошибка ~4–6 уд/мин дома, есть задокументированная предвзятость к тёмной коже. ВСР с камеры — только research.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Носимые — близкая перспектива, но с оговоркой. </w:t>
      </w:r>
      <w:r>
        <w:t xml:space="preserve">Пульс, сон, активность, ночной тренд ВСР потребительски-реальны. Но API почти всех вендоров — батчевые (данные приходят на следующее утро), не реал-тайм. «Стресс-баллы» и потребительский EEG-«фокус» — маркетинг, а не валидированные измерения.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«Стили обучения» (VAK) — развенчаны. </w:t>
      </w:r>
      <w:r>
        <w:t xml:space="preserve">Строить на них нельзя; это репутационный риск. Замена с доказанной базой — двойное кодирование (текст + образ помогает всем).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Доказательное ядро рекомендаций — интервальное повторение и извлечение из памяти. </w:t>
      </w:r>
      <w:r>
        <w:t xml:space="preserve">Это две техники с наивысшей доказанной пользой в науке об обучении. Open-source движок (FSRS) уже существует и проверен.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Вовлечённость — опережающий индикатор усилия, а не измерение способностей. </w:t>
      </w:r>
      <w:r>
        <w:t xml:space="preserve">По ней честно говорить «сейчас ребёнок активнее в X», но не «у ребёнка способность к X». Профиль — всегда эволюционирующий тренд, не диагноз.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Архитектура приватности — это актив, а не только комплаенс. </w:t>
      </w:r>
      <w:r>
        <w:t xml:space="preserve">Обработка на устройстве + только агрегаты + отсутствие идентификации даёт сильный юридический аргумент: по разъяснению Роскомнадзора «нет идентификации — нет биометрии». Это нужно сохранить и сделать центром позиционирования.</w:t>
      </w:r>
    </w:p>
    <w:p>
      <w:pPr>
        <w:pStyle w:val="Heading2"/>
      </w:pPr>
      <w:r>
        <w:t xml:space="preserve">Стратегический вывод одной строкой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E5F2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</w:rPr>
              <w:t xml:space="preserve">Стройте SEduM на наблюдаемых поведенческих прокси (геометрия лица + телеметрия обучения), а не на «чтении эмоций/мозга»; на интервальном повторении и извлечении из памяти, а не на «стилях обучения»; и на эволюционирующих трендах, а не на ярлыках способностей у детей. Это и эффектно, и защитимо.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Только веб-камера: что реально и надёжно извлекается</w:t>
      </w:r>
    </w:p>
    <w:p>
      <w:pPr>
        <w:spacing w:after="140" w:line="276"/>
      </w:pPr>
      <w:r>
        <w:t xml:space="preserve">Ключевой принцип: то, что геометрически измеримо (ориентация головы, открытость глаз, моргание), переживает переход «лаборатория → дешёвая камера в спальне» гораздо лучше, чем то, что выводится логически (эмоция, «внимание», ВСР). MediaPipe Face Landmarker сам по себе выдаёт только 478 точек лица, 52 коэффициента-«блендшейпа» и матрицу трансформации — он НЕ выдаёт ни взгляд, ни пульс, ни эмоцию, ни «вовлечённость». Каждый высокоуровневый сигнал — это отдельная модель сверху, со своей (меньшей) точностью.</w:t>
      </w:r>
    </w:p>
    <w:p>
      <w:pPr>
        <w:pStyle w:val="Heading2"/>
      </w:pPr>
      <w:r>
        <w:t xml:space="preserve">1.1. Сводная таблица сигналов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750"/>
        <w:gridCol w:w="2150"/>
        <w:gridCol w:w="1326"/>
        <w:gridCol w:w="1750"/>
      </w:tblGrid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Сигнал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Лучшая лаб. цифра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Реально дома (ноутбук)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Ключевое ограничение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Поза головы (pitch/yaw/roll)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~1.8–2.3° (BIWI); ~3–5° «в дикой природе»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~3–6° ошибки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Профиль &gt;60°, окклюзия, очень слабый свет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Моргание (EAR)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Высокая на blink-датасетах (SVM)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Надёжно при адаптивном пороге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Фиксированный порог не универсален; очки, чтение вниз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Закрытие глаз / PERCLOS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~97% «сонливость» (автомобиль/ИК)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Хорошо при свете; ночью отказывает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F1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Близко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 отличает долгое моргание от усталости; темнота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Взгляд (куда на экране)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~2–4° с калибровкой; ~3.9° MPIIGaze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Уровень квадрантов с калибровкой; 13–58° без неё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F1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Близко / research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Без калибровки/кросс-устройство — почти бесполезно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Пульс (rPPG)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~0.3–0.8 уд/мин (лаб., intra-dataset)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~4–6 уд/мин ошибки; расовая предвзятость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F1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Близко (тренд)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Движение, свет, тёмная кожа (до ~14 уд/мин)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Внимание / вовлечённость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~67% (4 класса, DAiSEE, несбаланс.)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Только грубый прокси ориентации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Research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Субъективная разметка; классовый дисбаланс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ВСР (HRV) с камеры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SDNN MAPE ~11% (контр. условия)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Ненадёжно на индивид. уровне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Research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Суммирует ошибки по ударам; это PRV, не HRV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Эмоции по лицу (FER)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~63–75% (AffectNet, 7–8 классов)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Посредственно + конструкт невалиден</w:t>
            </w:r>
          </w:p>
        </w:tc>
        <w:tc>
          <w:tcPr>
            <w:tcW w:type="dxa" w:w="1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Запрещено в ЕС</w:t>
            </w:r>
          </w:p>
        </w:tc>
        <w:tc>
          <w:tcPr>
            <w:tcW w:type="dxa" w:w="17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Лицо ≠ эмоция (Barrett 2019); запрет AI Act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1.2. Что это значит инженерно</w:t>
      </w:r>
    </w:p>
    <w:p>
      <w:pPr>
        <w:spacing w:after="140" w:line="276"/>
      </w:pPr>
      <w:r>
        <w:t xml:space="preserve">Надёжный каркас SEduM на камере строится на геометрических примитивах — поза головы, моргание/закрытие глаз, присутствие лица, грубый калиброванный взгляд, — поданных строго как поведенческие прокси, а не как вывод эмоций или внутренних состояний. rPPG-пульс можно добавить как опциональный грубый тренд с явными оговорками про кожу и движение. Распознавания эмоций следует избегать полностью.</w:t>
      </w:r>
    </w:p>
    <w:p>
      <w:pPr>
        <w:pStyle w:val="Heading3"/>
      </w:pPr>
      <w:r>
        <w:t xml:space="preserve">Где вендоры завышают (на что давить инвесторам и партнёрам)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«Взгляд с точностью ~1°». </w:t>
      </w:r>
      <w:r>
        <w:t xml:space="preserve">Верно только при калибровке под пользователя, неподвижной голове и хорошем свете. Без калибровки или на другом устройстве ошибка вырастает до 13–58°, а в реальных онлайн-исследованиях теряется ~40% участников из-за сбоев трекинга.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«Эмоция/вовлечённость по лицу». </w:t>
      </w:r>
      <w:r>
        <w:t xml:space="preserve">Спорно на уровне конструкта (Barrett 2019: надёжность r≈0.2–0.39, плохая специфичность), ~63–75% даже на лабораторных кропах, и запрещено в образовании ЕС.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«Клинический пульс с любой камеры (&lt;1 уд/мин)». </w:t>
      </w:r>
      <w:r>
        <w:t xml:space="preserve">Это intra-dataset лаборатория. Дома ~4–6 уд/мин, хуже при движении/слабом свете, и до ~14 уд/мин для тёмной кожи.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«ВСР/стресс с камеры». </w:t>
      </w:r>
      <w:r>
        <w:t xml:space="preserve">Только на групповом уровне; индивидуально ненадёжно. Даже лучшая лабораторная валидация прямо пишет, что результаты не переносятся на домашний свет/движение/разнообразие кожи.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«MediaPipe даёт вовлечённость». </w:t>
      </w:r>
      <w:r>
        <w:t xml:space="preserve">MediaPipe даёт точки + блендшейпы + матрицу. Не взгляд, не пульс, не эмоцию, не «внимание». Всё остальное — отдельные модели с меньшей точностью.</w:t>
      </w:r>
    </w:p>
    <w:p>
      <w:r>
        <w:br w:type="page"/>
      </w:r>
    </w:p>
    <w:p>
      <w:pPr>
        <w:pStyle w:val="Heading1"/>
      </w:pPr>
      <w:r>
        <w:t xml:space="preserve">2. Носимые устройства и EEG: био- и «нейро»-сигналы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B5B"/>
              </w:rPr>
              <w:t xml:space="preserve">Самый важный архитектурный вывод по носимым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Большинство потребительских API носимых — облачные и батчевые (данные приходят на следующее утро). Они структурно несовместимы и с «реальным временем», и с принципом «сырое — на устройстве». Реал-тайм + on-device возможен только на уровне SDK телефона/гарнитуры (Apple HealthKit в режиме тренировки, Google Health Connect, Muse/Emotiv по BLE/LSL), но НЕ через облака вендоров.</w:t>
            </w:r>
          </w:p>
        </w:tc>
      </w:tr>
    </w:tbl>
    <w:p>
      <w:pPr>
        <w:pStyle w:val="Heading2"/>
      </w:pPr>
      <w:r>
        <w:t xml:space="preserve">2.1. Наручные носимые (Apple Watch, Garmin, Fitbit, Whoop, Polar, Oura)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Пульс (PPG) — потребительски-реален. </w:t>
      </w:r>
      <w:r>
        <w:t xml:space="preserve">Точность ~3–5% к ЭКГ в покое и на стабильной нагрузке. Нюанс: отказывает не «на нагрузке вообще», а при нерегулярных движениях запястья — Apple Watch точнее всего на беге (MAPE 3.0%) и во сне (3.1%), но хуже на бытовой активности (13.7%). Для сидящего ученика, который печатает, — промежуточный случай.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ВСР (HRV) — раздвоенный вердикт. </w:t>
      </w:r>
      <w:r>
        <w:t xml:space="preserve">Ночные средние во сне — потребительски-реальны (лучше всего Oura/Whoop). Мгновенная дневная ВСР — research/ненадёжно: Apple Watch против нагрудного Polar H10 даёт MAPE ~29%. Использовать только как личный ночной тренд, никогда как абсолютную цифру «сейчас он в стрессе».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Сон — сон/бодрствование реально; стадии — маргинально. </w:t>
      </w:r>
      <w:r>
        <w:t xml:space="preserve">Детекция сна/бодрствования ~95–96%. Разбивка на лёгкий/глубокий/REM — лишь умеренное согласие с полисомнографией (κ ~0.55–0.65 в лучшем случае, Oura — сильнейший). Маркетинг подразумевает большую точность, чем подтверждает κ.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Активность/шаги — потребительски-реальны. </w:t>
      </w:r>
      <w:r>
        <w:t xml:space="preserve">Шаги точны до нескольких процентов; оценка калорий слабая (часто 20–30%+ ошибки).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«Стресс-баллы» (Garmin Body Battery, Fitbit Stress, Whoop Strain) — в основном research/overclaim. </w:t>
      </w:r>
      <w:r>
        <w:t xml:space="preserve">Это проприетарные композиты, не измерение валидированного «стресса». Корреляция Garmin stress с самоотчётом ~ −0.08 (фактически нулевая); арousal неспецифичен (нельзя отличить стресс от возбуждения). Whoop Strain осмыслен, но как физическая нагрузка, а не когнитивный стресс.</w:t>
      </w:r>
    </w:p>
    <w:p>
      <w:pPr>
        <w:pStyle w:val="Heading2"/>
      </w:pPr>
      <w:r>
        <w:t xml:space="preserve">2.2. Потребительский EEG (Muse, Emotiv, NeuroSky)</w:t>
      </w:r>
    </w:p>
    <w:p>
      <w:pPr>
        <w:spacing w:after="140" w:line="276"/>
      </w:pPr>
      <w:r>
        <w:t xml:space="preserve">Нельзя смешивать два вопроса. (1) Пригоден ли сырой сигнал? Частично да: Muse (4 канала) и Emotiv (14 каналов) валидированы для ряда исследовательских парадигм. (2) Измеряют ли встроенные «баллы внимания/фокуса» внимание? Нет — это и есть overclaim. eSense у NeuroSky проприетарен и плохо валидирован; MindWave плохо распознаёт даже те состояния, которые рекламирует.</w:t>
      </w:r>
    </w:p>
    <w:p>
      <w:pPr>
        <w:spacing w:after="140" w:line="276"/>
      </w:pPr>
      <w:r>
        <w:t xml:space="preserve">В литературе есть статьи с высокой точностью классификации «внимания» в e-learning на Muse (до ~98%), НО это, как правило: малые выборки, within-subject, лабораторные условия, кастомный ML на сыром EEG (не вендорский «фокус»), с риском того, что модель ловит артефакт сонливости/EMG, а не «внимание». Кросс-субъектная, «в дикой природе» точность гораздо ниже. Любое продуктовое заявление «мы измеряем фокус по EEG» сегодня — overclaim. EEG — высокофрикционный (надо носить повязку), артефакто-чувствительный, экспериментальный сигнал, а не ядро инфраструктуры.</w:t>
      </w:r>
    </w:p>
    <w:p>
      <w:pPr>
        <w:pStyle w:val="Heading2"/>
      </w:pPr>
      <w:r>
        <w:t xml:space="preserve">2.3. Интеграция (API): реал-тайм или батч?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250"/>
        <w:gridCol w:w="2150"/>
        <w:gridCol w:w="2226"/>
      </w:tblGrid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Реал-тайм?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Ключевое ограничение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Apple Watch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HealthKit (on-device)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Только в Workout-сессии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Пульс, ВСР (SDNN), сон, активность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 поток; фоновая доставка throttled. Сырое остаётся на устройстве — хорошо для приватности.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Fitbit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Web API → Google Health API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Нет (облако)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Шаги, пульс, сон, ВСР, SpO2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Старый Web API закрывается ~сент. 2026 — миграция на Google Health API обязательна.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Android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Health Connect (on-device)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Нет (слой синхр.)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Пульс, сон, активность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Заменяет Google Fit (Fit API деприкейтится в 2026).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Garmin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Garmin Health API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Ближе всего (push за минуты)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Пульс, ВСР, стресс, Body Battery, сон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Push-only; нужно одобрение программы (недели).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Oura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Oura API v2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Нет (утро следующего дня)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Сон (лучший), ВСР, пульс покоя, readiness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Дневная каденция.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Whoop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Whoop API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Нет (дневная каденция)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Recovery, Strain, Sleep, пульс/ВСР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Recovery считается после сна.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Polar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AccessLink / BLE SDK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Облако нет; BLE да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Тренировки, пульс, ВСР, Nightly Recharge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AccessLink — батч; реал-тайм только через BLE-SDK устройства.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Muse / Emotiv</w:t>
            </w:r>
          </w:p>
        </w:tc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Muse SDK / Cortex / LSL</w:t>
            </w:r>
          </w:p>
        </w:tc>
        <w:tc>
          <w:tcPr>
            <w:tcW w:type="dxa" w:w="12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Да — сырой EEG поток</w:t>
            </w:r>
          </w:p>
        </w:tc>
        <w:tc>
          <w:tcPr>
            <w:tcW w:type="dxa" w:w="21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Сырой EEG (4 / 14 каналов)</w:t>
            </w:r>
          </w:p>
        </w:tc>
        <w:tc>
          <w:tcPr>
            <w:tcW w:type="dxa" w:w="22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On-device по BLE/LSL — подходит модели приватности.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</w:rPr>
              <w:t xml:space="preserve">Практический вывод: </w:t>
            </w:r>
            <w:r>
              <w:t xml:space="preserve">планируйте архитектуру вокруг «дневные агрегаты из облачных API + опциональный on-device реал-тайм пульса/EEG». Заранее закладывайте миграцию Fitbit на Google Health API. Не обещайте «живой стрим биоданных» — у большинства устройств его нет.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Предрасположенность к обучению: доказательное vs развенчанное</w:t>
      </w:r>
    </w:p>
    <w:p>
      <w:pPr>
        <w:pStyle w:val="Heading2"/>
      </w:pPr>
      <w:r>
        <w:t xml:space="preserve">3.1. Что НЕЛЬЗЯ закладывать (развенчано/не подтверждено)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326"/>
      </w:tblGrid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Идея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  <w:tc>
          <w:tcPr>
            <w:tcW w:type="dxa" w:w="4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«Стили обучения» (VAK) — подгонять обучение под визуала/аудиала/кинестетика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Развенчано</w:t>
            </w:r>
          </w:p>
        </w:tc>
        <w:tc>
          <w:tcPr>
            <w:tcW w:type="dxa" w:w="4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Pashler et al. (2008): нет доказательной базы для гипотезы «совпадения». Даже благосклонная мета-аналитика 2024 (g=0.31) проваливает корректный тест (кроссовер лишь в 26% случаев); сами авторы против внедрения. Это «нейромиф».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Фиксированный «тип/талант» и подгонка метода под способность (ATI)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Развенчано как метод</w:t>
            </w:r>
          </w:p>
        </w:tc>
        <w:tc>
          <w:tcPr>
            <w:tcW w:type="dxa" w:w="4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Cronbach &amp; Snow (1977): взаимодействия сложны и не воспроизводятся; «ни один ATI-эффект не понят достаточно, чтобы быть основой практики».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MBTI / Майерс-Бриггс для профориентации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Псевдонаука</w:t>
            </w:r>
          </w:p>
        </w:tc>
        <w:tc>
          <w:tcPr>
            <w:tcW w:type="dxa" w:w="4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Низкая ретест-надёжность (39–76% меняют тип за ~5 недель), слабая предсказательная валидность. Научный стандарт — «Большая пятёрка».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Вывод «склонности/способности» к предмету из краткосрочной вовлечённости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Overreach</w:t>
            </w:r>
          </w:p>
        </w:tc>
        <w:tc>
          <w:tcPr>
            <w:tcW w:type="dxa" w:w="4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Вовлечённость — состояние, зависящее от учителя, новизны, сложности, настроения; это прокси усилия, не измерение способности.</w:t>
            </w:r>
          </w:p>
        </w:tc>
      </w:tr>
      <w:tr>
        <w:tc>
          <w:tcPr>
            <w:tcW w:type="dxa" w:w="3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Точный индивидуальный «час пик обучения» из хронотипа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F1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Слабо</w:t>
            </w:r>
          </w:p>
        </w:tc>
        <w:tc>
          <w:tcPr>
            <w:tcW w:type="dxa" w:w="43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«Эффект синхронности» неустойчив: исследование 2023 — «нет общего и устойчивого когнитивного буста».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3.2. Что МОЖНО утверждать и строить (доказательное)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Интервальное повторение + извлечение из памяти — золотой стандарт. </w:t>
      </w:r>
      <w:r>
        <w:t xml:space="preserve">Cepeda et al. (2006): распределённое повторение победило массированное в 259 из 271 сравнения. Dunlosky et al. (2013): только две техники получили «высокую пользу» — практическое тестирование и распределённая практика; перечитывание и выделение — «низкая польза».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Двойное кодирование (текст + образ) помогает всем — </w:t>
      </w:r>
      <w:r>
        <w:t xml:space="preserve">это доказательная замена «визуальному стилю».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Подростки биологически сдвинуты позже. </w:t>
      </w:r>
      <w:r>
        <w:t xml:space="preserve">AAP и AASM рекомендуют начало занятий не раньше 8:30; задержка старта добавляет 25–77 мин сна и снижает дневную сонливость. Можно честно говорить: ранние утренние слоты для подростков субоптимальны.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Интерес и внутренняя мотивация умеренно предсказывают результат </w:t>
      </w:r>
      <w:r>
        <w:t xml:space="preserve">(Schiefele 1992, r≈.30; теория самодетерминации Deci &amp; Ryan: автономия, компетентность, связанность). Вовлечённость — легитимный опережающий индикатор (поведенческие признаки повышают точность ML-прогноза успеваемости на &gt;20%).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Прошлая успеваемость по предмету — сильный предиктор будущей по этому же предмету. </w:t>
      </w:r>
      <w:r>
        <w:t xml:space="preserve">Общие когнитивные способности и предзнание — сильнейшие предикторы достижений.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Валидированные опросники интересов (RIASEC/Холланд) </w:t>
      </w:r>
      <w:r>
        <w:t xml:space="preserve">имеют умеренную предсказательную валидность для образовательного/карьерного направления (Nye et al., 2012) — годятся для исследования вариантов, не для приговора.</w:t>
      </w:r>
    </w:p>
    <w:p>
      <w:pPr>
        <w:pStyle w:val="Heading2"/>
      </w:pPr>
      <w:r>
        <w:t xml:space="preserve">3.3. Этика профилирования детей: «эволюционирующие тренды, не диагноз»</w:t>
      </w:r>
    </w:p>
    <w:p>
      <w:pPr>
        <w:spacing w:after="140" w:line="276"/>
      </w:pPr>
      <w:r>
        <w:t xml:space="preserve">Эффекты ярлыков реальны, но их магнитуду важно не преувеличивать. Самообучающиеся пророчества (эффект Пигмалиона) существуют, но по обзору Jussim &amp; Harber (2005) обычно малы, не накапливаются через учителей и годы и часто отражают точные, а не индуцированные ожидания. Опасность не в том, что один ярлык «приговаривает» ребёнка, а в том, что система, постоянно показывающая фиксированные ярлыки, может закреплять заниженные ожидания и формировать возможности.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E5F2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B5B"/>
              </w:rPr>
              <w:t xml:space="preserve">Проектная рамка для детских профилей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Динамика, а не статус: </w:t>
            </w:r>
            <w:r>
              <w:t xml:space="preserve">показывать изменяющиеся во времени тренды с явной неопределённостью, а не категории.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Язык роста: </w:t>
            </w:r>
            <w:r>
              <w:t xml:space="preserve">«пока не освоено», «сейчас активнее в…», «тренд за 4 недели» — вместо «не математик», «аудиал», «низкие способности».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Обновляемость: </w:t>
            </w:r>
            <w:r>
              <w:t xml:space="preserve">профиль всегда может измениться; никаких «окончательных» вердиктов о потенциале.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Человек в контуре: </w:t>
            </w:r>
            <w:r>
              <w:t xml:space="preserve">аналитика — поддержка решений учителя/родителя, не автоматический приговор о ребёнке.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Движок персональных рекомендаций: доказательные подходы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</w:rPr>
              <w:t xml:space="preserve">Не путайте два класса цифр. </w:t>
            </w:r>
            <w:r>
              <w:t xml:space="preserve">Предсказание следующего ответа (FSRS, DKT) даёт большие, чистые, воспроизводимые метрики, потому что это лёгкая ML-задача. Реальный прирост обучения (ITS, эффект тестирования) гораздо меньше и шумнее: d ≈ 0.2–0.8. Легендарные «2 сигма» Блума практически не воспроизведены — не обещайте их.</w:t>
            </w:r>
          </w:p>
        </w:tc>
      </w:tr>
    </w:tbl>
    <w:p>
      <w:pPr>
        <w:pStyle w:val="Heading2"/>
      </w:pPr>
      <w:r>
        <w:t xml:space="preserve">4.1. Интервальное повторение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SM-2 (Anki) — </w:t>
      </w:r>
      <w:r>
        <w:t xml:space="preserve">старый эвристический алгоритм с одной переменной (ease factor 2.5). Не учится на данных; известный сбой «ease hell».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FSRS (Free Spaced Repetition Scheduler) — рекомендуемая база. </w:t>
      </w:r>
      <w:r>
        <w:t xml:space="preserve">Open-source, по умолчанию в Anki с версии 23.10 (ноябрь 2023). Модель DSR (Difficulty/Stability/Retrievability), подстраивает параметры под историю пользователя. На бенчмарке (~727 млн повторений, ~10 000 пользователей) FSRS-5 превосходит SM-2 у ~97% пользователей; на фиксированной цели удержания планирует на ~20–30% меньше повторений. Данные: лог (карта, время, оценка, интервал) — и всё. Пакет </w:t>
      </w:r>
      <w:r>
        <w:rPr>
          <w:b/>
          <w:bCs/>
        </w:rPr>
        <w:t xml:space="preserve">py-fsrs</w:t>
      </w:r>
      <w:r>
        <w:t xml:space="preserve"> (MIT).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Duolingo Half-Life Regression (HLR, 2016) — </w:t>
      </w:r>
      <w:r>
        <w:t xml:space="preserve">исторически важен (первый обучаемый планировщик с продакшн-валидацией: −45% ошибки прогноза, +12% к вовлечённости в A/B), но по точности уступает FSRS. Открыл публичный датасет на 13 млн трасс.</w:t>
      </w:r>
    </w:p>
    <w:p>
      <w:pPr>
        <w:pStyle w:val="Heading2"/>
      </w:pPr>
      <w:r>
        <w:t xml:space="preserve">4.2. Извлечение из памяти (тестирование) — самое защитимое</w:t>
      </w:r>
    </w:p>
    <w:p>
      <w:pPr>
        <w:spacing w:after="140" w:line="276"/>
      </w:pPr>
      <w:r>
        <w:t xml:space="preserve">Roediger &amp; Karpicke (2006): тестирование без обратной связи проигрывает перечитыванию на немедленном тесте, но выигрывает на отсрочке в 2 дня и неделю. Мета-анализ Adesope et al. (2017): g ≈ 0.61. Каждая рекомендация движка должна склоняться к извлечению (карточки, квизы, свободный ответ) с обратной связью и распределением во времени, а не к пассивному перечитыванию.</w:t>
      </w:r>
    </w:p>
    <w:p>
      <w:pPr>
        <w:pStyle w:val="Heading2"/>
      </w:pPr>
      <w:r>
        <w:t xml:space="preserve">4.3. Трассировка знаний (что ученик знает)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BKT (Bayesian Knowledge Tracing) — рекомендуемый старт. </w:t>
      </w:r>
      <w:r>
        <w:t xml:space="preserve">Скрытая марковская модель на навык (4 параметра: prior/learn/slip/guess). Интерпретируема, нетребовательна к данным, даёт прямую «P(освоено)» для mastery-gating. Open-source: pyBKT (UC Berkeley).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DKT (Deep Knowledge Tracing, LSTM, 2015) — позже, и осторожно. </w:t>
      </w:r>
      <w:r>
        <w:t xml:space="preserve">Заявленный отрыв «AUC 0.86 против 0.69» преувеличен: Xiong (2016) нашёл дубликаты в бенчмарке (утечка данных), Khajah (2016) показал, что расширенный BKT статистически неотличим от DKT. Реальное преимущество — скромное и только на больших данных.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Трансформерные KT (SAKT, AKT) — </w:t>
      </w:r>
      <w:r>
        <w:t xml:space="preserve">часть заявленного прироста исчезает при стандартизированной предобработке: бенчмарк pyKT показал, что простые базлайны «трудно побить». Доверять стандартизированным цифрам (pyKT), а не отдельным статьям. Open-source: pyKT, EduKTM.</w:t>
      </w:r>
    </w:p>
    <w:p>
      <w:pPr>
        <w:pStyle w:val="Heading2"/>
      </w:pPr>
      <w:r>
        <w:t xml:space="preserve">4.4. Оптимизация времени и рекомендации контента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Расписание интервалов (Cepeda): </w:t>
      </w:r>
      <w:r>
        <w:t xml:space="preserve">оптимальный промежуток ≈ 10–20% от срока удержания — конкретное, защитимое правило.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Тайминг уведомлений (Duolingo, бандиты, KDD 2020): </w:t>
      </w:r>
      <w:r>
        <w:t xml:space="preserve">реальный, но скромный эффект: +0.5% DAU, +2% удержания новичков. «ИИ знает идеальную минуту для пинга» — в основном маркетинг; всегда защищайтесь от усталости от уведомлений.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Рекомендация контента: </w:t>
      </w:r>
      <w:r>
        <w:t xml:space="preserve">ядро — mastery-based выбор следующего элемента (целиться в полосу сложности ~0.6–0.85 предсказанной вероятности успеха, уважать граф предпосылок). Нет проблемы холодного старта пользователя. Коллаборативная фильтрация — рискованна для педагогики (оптимизирует похожесть/популярность, чувствительна к холодному старту); добавлять её только как вторичный слой «открытий».</w:t>
      </w:r>
    </w:p>
    <w:p>
      <w:pPr>
        <w:pStyle w:val="Heading2"/>
      </w:pPr>
      <w:r>
        <w:t xml:space="preserve">4.5. Что строить первым (порядок для стартапа)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Схема логирования событий — в первый же день. </w:t>
      </w:r>
      <w:r>
        <w:t xml:space="preserve">(user_id, item_id, skill_id, correct, grade, timestamp, latency). Без неё ничего из нижеперечисленного не работает и не ретроспективно.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FSRS (py-fsrs) — </w:t>
      </w:r>
      <w:r>
        <w:t xml:space="preserve">наивысшее отношение «эффект/усилие». Готовое, проверенное, нужен только лог повторений.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Дизайн вокруг извлечения из памяти + обратной связи — </w:t>
      </w:r>
      <w:r>
        <w:t xml:space="preserve">самый воспроизведённый эффект (g≈0.61), это позиция дизайна, не код.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Mastery-модель на pyBKT — </w:t>
      </w:r>
      <w:r>
        <w:t xml:space="preserve">интерпретируемое «освоено по навыку» для показа ученику и для gating. Требует разметки навыков (это реальная статья затрат).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Mastery-based рекомендатель + контентные теги; </w:t>
      </w:r>
      <w:r>
        <w:t xml:space="preserve">CF — позже, как слой «открытий».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Глубокий KT (pyKT) — </w:t>
      </w:r>
      <w:r>
        <w:t xml:space="preserve">только потом и только если данных много (десятки тысяч учеников) и есть подтверждённый отрыв над настроенным pyBKT на стандартизированном бенчмарке.</w:t>
      </w:r>
    </w:p>
    <w:p>
      <w:r>
        <w:br w:type="page"/>
      </w:r>
    </w:p>
    <w:p>
      <w:pPr>
        <w:pStyle w:val="Heading1"/>
      </w:pPr>
      <w:r>
        <w:t xml:space="preserve">5. Этика и право: анализ несовершеннолетних</w:t>
      </w:r>
    </w:p>
    <w:p>
      <w:pPr>
        <w:spacing w:after="140" w:line="276"/>
      </w:pPr>
      <w:r>
        <w:t xml:space="preserve">Это карта правового ландшафта, а не юридическое заключение. Перед опорой на любую из позиций нужно привлечь квалифицированных юристов в каждой целевой юрисдикции.</w:t>
      </w:r>
    </w:p>
    <w:p>
      <w:pPr>
        <w:pStyle w:val="Heading2"/>
      </w:pPr>
      <w:r>
        <w:t xml:space="preserve">5.1. Россия — 152-ФЗ и ключевой нюанс «биометрии»</w:t>
      </w:r>
    </w:p>
    <w:p>
      <w:pPr>
        <w:spacing w:after="140" w:line="276"/>
      </w:pPr>
      <w:r>
        <w:t xml:space="preserve">Биометрические персональные данные по ст. 11 152-ФЗ — это сведения, характеризующие физиологические/биологические особенности, на основании которых можно установить личность, И которые используются оператором для установления личности субъекта. По разъяснению Роскомнадзора действуют три кумулятивных критерия одновременно; формула эксперта группы: «Нет идентификации — нет биометрии в понимании Федерального закона „О персональных данных“». Обработка изображения без процедур идентификации биометрией по ст. 11 не считается.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E5F2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B5B"/>
              </w:rPr>
              <w:t xml:space="preserve">Что это даёт архитектуре SEduM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Сильный аргумент: </w:t>
            </w:r>
            <w:r>
              <w:t xml:space="preserve">система, которая анализирует сигналы лица на устройстве, НЕ сопоставляет лицо с личностью и передаёт только агрегаты, имеет веское текстовое основание не считаться обработкой «биометрических ПДн» по 152-ФЗ — а значит, нет триггера письменного согласия на биометрию и обязанности по ЕБС.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Честные оговорки: </w:t>
            </w:r>
            <w:r>
              <w:t xml:space="preserve">(1) кадры с веб-камеры — всё равно обычные ПДн идентифицируемых детей, общий режим 152-ФЗ применяется (правовое основание, локализация, защита, согласие законного представителя); (2) как только появляется сопоставление лиц/реидентификация — позиция «переключается» в биометрию; (3) практика регулятора может эволюционировать.</w:t>
            </w:r>
          </w:p>
        </w:tc>
      </w:tr>
    </w:tbl>
    <w:p>
      <w:pPr>
        <w:spacing w:after="140" w:line="276"/>
      </w:pPr>
      <w:r>
        <w:t xml:space="preserve">Несовершеннолетние: лицо до 18 лет, как правило, не имеет дееспособности дать согласие — его даёт законный представитель (родитель/опекун). Для продукта 1–11 классов это касается практически всех учеников. Закон 572-ФZ (с 2022) централизовал биометрию в государственной ЕБС; биометрию нельзя собирать у детей без согласия родителей. Сохранение сырой биометрии на устройстве и невозникновение «биометрических ПДн» — также чистейший способ остаться вне мандата ЕБС.</w:t>
      </w:r>
    </w:p>
    <w:p>
      <w:pPr>
        <w:pStyle w:val="Heading2"/>
      </w:pPr>
      <w:r>
        <w:t xml:space="preserve">5.2. ЕС — самый важный международный риск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FBE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B5B"/>
              </w:rPr>
              <w:t xml:space="preserve">EU AI Act, ст. 5(1)(f) — запрещённая практика (действует с 02.02.2025)</w:t>
            </w:r>
          </w:p>
          <w:p>
            <w:pPr>
              <w:spacing w:after="50"/>
            </w:pPr>
            <w:r>
              <w:t xml:space="preserve">Запрещено выводить эмоции человека в сферах труда и образования (включая онлайн/дистанционное, все возрасты), кроме медицинских целей и целей безопасности. Это запрет (уровень «неприемлемого риска»), а НЕ «высокий риск». Штраф — до €35 млн или 7% оборота. Обоснование (Recital 44): «отсутствие научной базы», ограниченная надёжность, риск дискриминации, дисбаланс власти ученик/учитель.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Что НЕ запрещено (важные исключения): </w:t>
            </w:r>
            <w:r>
              <w:t xml:space="preserve">(1) медицина/безопасность — узко (усталость пилота/водителя; не «общий мониторинг стресса/благополучия»); (2) физические состояния — боль, усталость — исключены из определения «эмоции» (Recital 18); (3) простое распознавание выражений/жестов (улыбка, поднятая рука), ЕСЛИ из них не выводится эмоция; (4) выводы НЕ на основе биометрических данных — поведенческая телеметрия (клики, задержка ответа, время на задаче) вне этого запрета.</w:t>
            </w:r>
          </w:p>
        </w:tc>
      </w:tr>
    </w:tbl>
    <w:p>
      <w:pPr>
        <w:spacing w:after="140" w:line="276"/>
      </w:pPr>
      <w:r>
        <w:t xml:space="preserve">GDPR: биометрия «для уникальной идентификации» — особая категория (ст. 9), требует, как правило, явного согласия. Как и в РФ, триггер — цель идентификации, поэтому чистая on-device аналитика без идентификации, вероятно, не подпадает под ст. 9 — но это всё равно ПДн детей (общий режим), а аффект-данные чувствительны и требуют DPIA. Дети: возраст согласия 16 (государства могут снижать до 13); ниже — согласие носителя родительской ответственности. Важная неоднозначность: определение биометрии в самом AI Act (ст. 3(34)) шире, чем в GDPR (без оговорки про «уникальную идентификацию»), поэтому для запрета эмоций по AI Act аргумент «мы никого не идентифицируем» может НЕ спасти.</w:t>
      </w:r>
    </w:p>
    <w:p>
      <w:pPr>
        <w:pStyle w:val="Heading2"/>
      </w:pPr>
      <w:r>
        <w:t xml:space="preserve">5.3. США и мягкое право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COPPA (дети до 13): </w:t>
      </w:r>
      <w:r>
        <w:t xml:space="preserve">требуется проверяемое родительское согласие. Поправки FTC 2025 (в силе с 23.06.2025, дедлайн 22.04.2026) прямо включают биометрические идентификаторы (в т.ч. шаблоны лица) в «персональную информацию» + обязательные программа безопасности и политика хранения. On-device/без шаблонов снова помогает.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FERPA (школы): </w:t>
      </w:r>
      <w:r>
        <w:t xml:space="preserve">защищает PII в образовательных записях; раскрытие обычно требует согласия, с исключением «школьного должностного лица» для вендоров.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Мягкое право: </w:t>
      </w:r>
      <w:r>
        <w:t xml:space="preserve">UNESCO (Рекомендация по этике ИИ, 2021), UNICEF (руководство по ИИ для детей), OECD (принципы ИИ) — все требуют человекоцентричности, защиты данных детей, прозрачности, недопущения непрозрачного профилирования. Microsoft и IBM публично свернули функции распознавания эмоций, ссылаясь на эти проблемы.</w:t>
      </w:r>
    </w:p>
    <w:p>
      <w:pPr>
        <w:pStyle w:val="Heading2"/>
      </w:pPr>
      <w:r>
        <w:t xml:space="preserve">5.4. Таблица: защитимо vs overclaim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3126"/>
      </w:tblGrid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Заявление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«ИИ читает эмоции ученика (фрустрация, скука, радость) по веб-камере»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Overclaim + запрещено в ЕС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Прямая запрещённая практика по ст. 5(1)(f); научно спорно (Barrett 2019).</w:t>
            </w:r>
          </w:p>
        </w:tc>
      </w:tr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«Измеряем „нейро“-состояния/когнитивную нагрузку по лицу и предсказываем способности/IQ»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Overclaim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Нет валидированного метода; риск «биометрической категоризации» (ст. 5(1)(g)) и профилирования детей.</w:t>
            </w:r>
          </w:p>
        </w:tc>
      </w:tr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«Персональный эмоциональный/личностный профиль ребёнка за год»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Overclaim + высокий риск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Профилирование детей — против GDPR Recital 38 / UNICEF; эмоц. версия в образовании ЕС запрещена.</w:t>
            </w:r>
          </w:p>
        </w:tc>
      </w:tr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«Сырые данные камеры не покидают устройство; на сервер — только агрегаты»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Защитимо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Сильная минимизация данных; поддерживает позицию «нет идентификации — нет биометрии». Должно быть технически обеспечено и аудируемо.</w:t>
            </w:r>
          </w:p>
        </w:tc>
      </w:tr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«Измеряем поведенческие прокси вовлечённости (время на задаче, задержка ответа, завершение), а не эмоции»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Защитимо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Неблометрическая телеметрия вне запрета на эмоции и вне определений биометрии.</w:t>
            </w:r>
          </w:p>
        </w:tc>
      </w:tr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«Помечаем сонливость/усталость (физическое состояние) для благополучия»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F1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В основном защитимо, с оговорками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Усталость исключена из «эмоций» (Recital 18); но исключение «безопасность» читается узко — не переоценивать.</w:t>
            </w:r>
          </w:p>
        </w:tc>
      </w:tr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«Аналитика — поддержка решений учителя, не автоматический приговор, и она объяснима»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Защитимо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Человек в контуре; избегает ст. 22 GDPR; соответствует OECD/UNESCO.</w:t>
            </w:r>
          </w:p>
        </w:tc>
      </w:tr>
      <w:tr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«GDPR/AI-Act-совместимый ИИ распознавания эмоций для классов»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Overclaim (ложная определённость)</w:t>
            </w:r>
          </w:p>
        </w:tc>
        <w:tc>
          <w:tcPr>
            <w:tcW w:type="dxa" w:w="31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Нельзя быть «совместимым с AI Act», делая именно то, что Act запрещает в классах.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C58A" w:sz="1"/>
              <w:left w:val="single" w:color="2E75B6" w:sz="18"/>
              <w:bottom w:val="single" w:color="D9C58A" w:sz="1"/>
              <w:right w:val="single" w:color="D9C58A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B5B"/>
              </w:rPr>
              <w:t xml:space="preserve">Правило большого пальца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«Мы выводим, что ребёнок чувствует/думает (эмоция/нейро/способности) по его телу/лицу» = overclaim и часто незаконно. «Мы измеряем наблюдаемые поведенческие прокси вовлечённости, держим биометрию на устройстве, шлём только агрегаты, с согласием родителей и человеком в контуре, и не утверждаем, что читаем мысли» = защитимо.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Приоритизированная дорожная карта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2200"/>
        <w:gridCol w:w="1800"/>
      </w:tblGrid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Горизонт</w:t>
            </w:r>
          </w:p>
        </w:tc>
        <w:tc>
          <w:tcPr>
            <w:tcW w:type="dxa" w:w="35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строить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Зрелость / данные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B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E7A3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СЕЙЧАС (камера)</w:t>
            </w:r>
          </w:p>
        </w:tc>
        <w:tc>
          <w:tcPr>
            <w:tcW w:type="dxa" w:w="35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</w:rPr>
              <w:t xml:space="preserve">Геометрические прокси: </w:t>
            </w:r>
            <w:r>
              <w:rPr>
                <w:sz w:val="18"/>
                <w:szCs w:val="18"/>
              </w:rPr>
              <w:t xml:space="preserve">поза головы, моргание, закрытие глаз, присутствие, грубый калиброванный взгляд — как «лицо на экране / отвёл взгляд / глаза закрыты».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Телеметрия обучения: время на задаче, задержка, завершение, паттерны попыток.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Дашборд «эволюционирующих трендов» вовлечённости (не диагноз).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Production-ready; нужна только камера + on-device обработка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E7A3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СЕЙЧАС (движок)</w:t>
            </w:r>
          </w:p>
        </w:tc>
        <w:tc>
          <w:tcPr>
            <w:tcW w:type="dxa" w:w="35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</w:rPr>
              <w:t xml:space="preserve">FSRS </w:t>
            </w:r>
            <w:r>
              <w:t xml:space="preserve">(интервальное повторение) + </w:t>
            </w:r>
            <w:r>
              <w:rPr>
                <w:b/>
                <w:bCs/>
              </w:rPr>
              <w:t xml:space="preserve">дизайн вокруг извлечения из памяти</w:t>
            </w:r>
            <w:r>
              <w:t xml:space="preserve"> + </w:t>
            </w:r>
            <w:r>
              <w:rPr>
                <w:b/>
                <w:bCs/>
              </w:rPr>
              <w:t xml:space="preserve">pyBKT </w:t>
            </w:r>
            <w:r>
              <w:rPr>
                <w:sz w:val="18"/>
                <w:szCs w:val="18"/>
              </w:rPr>
              <w:t xml:space="preserve">(mastery).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Mastery-based рекомендатель следующего элемента.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Open-source, проверено; нужен лог событий обучения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5F2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B26A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БЛИЗКО (носимые)</w:t>
            </w:r>
          </w:p>
        </w:tc>
        <w:tc>
          <w:tcPr>
            <w:tcW w:type="dxa" w:w="35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</w:rPr>
              <w:t xml:space="preserve">Опционально, с согласия: </w:t>
            </w:r>
            <w:r>
              <w:rPr>
                <w:sz w:val="18"/>
                <w:szCs w:val="18"/>
              </w:rPr>
              <w:t xml:space="preserve">дневные агрегаты пульса/сна/активности и ночного тренда ВСР как контекст благополучия (не реал-тайм).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rPPG-пульс с камеры — грубый тренд, с оговорками про кожу/движение.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Потребительски-реально, НО API батчевые; миграция Fitbit→Google к 2026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F1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ДОЛГИЙ R&amp;D</w:t>
            </w:r>
          </w:p>
        </w:tc>
        <w:tc>
          <w:tcPr>
            <w:tcW w:type="dxa" w:w="35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</w:rPr>
              <w:t xml:space="preserve">Экспериментально: </w:t>
            </w:r>
            <w:r>
              <w:rPr>
                <w:sz w:val="18"/>
                <w:szCs w:val="18"/>
              </w:rPr>
              <w:t xml:space="preserve">кастомный EEG-классификатор «вовлечённости» (Muse/Emotiv) — высокофрикционный, артефакто-чувствительный.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Глубокий KT (DKT/AKT) — только на больших данных с доказанным отрывом.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Профориентация на RIASEC — как исследование вариантов, не приговор.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Research-stage; требует масштабных данных и валидации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5A0A0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НЕ ДЕЛАТЬ</w:t>
            </w:r>
          </w:p>
        </w:tc>
        <w:tc>
          <w:tcPr>
            <w:tcW w:type="dxa" w:w="3526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</w:rPr>
              <w:t xml:space="preserve">Распознавание эмоций по лицу (FER) </w:t>
            </w:r>
            <w:r>
              <w:rPr>
                <w:sz w:val="18"/>
                <w:szCs w:val="18"/>
              </w:rPr>
              <w:t xml:space="preserve">как ядро — запрещено в образовании ЕС + научно спорно.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Фиксированные ярлыки способностей/«стилей»/MBTI у детей.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Заявления о «чтении мозга/эмоций» и предсказании IQ/таланта.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Юридический + научный + репутационный тупик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BE3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Критический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Рекомендованный набор фич «SEduM-аналитика»</w:t>
      </w:r>
    </w:p>
    <w:p>
      <w:pPr>
        <w:spacing w:after="140" w:line="276"/>
      </w:pPr>
      <w:r>
        <w:t xml:space="preserve">Набор подобран так, чтобы быть эффектным в демо и устойчивым к проверке юриста и учёного. Каждая фича опирается на надёжный сигнал и честную формулировку.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«Карта фокуса сессии». </w:t>
      </w:r>
      <w:r>
        <w:t xml:space="preserve">По геометрии лица (поза головы + закрытие глаз + присутствие): доля времени «лицо ориентировано на экран», события «отвлечения», без претензии на эмоцию. Эффектно и защитимо.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«Тренд вовлечённости за 4 недели». </w:t>
      </w:r>
      <w:r>
        <w:t xml:space="preserve">Лонгитюдный график поведенческих прокси + телеметрии обучения, с явной неопределённостью и языком роста; обновляемый, не «диагноз».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«Умное повторение» (FSRS). </w:t>
      </w:r>
      <w:r>
        <w:t xml:space="preserve">Персональное расписание интервального повторения с целью удержания; визуализация «что и когда повторить».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«Учёба через вспоминание». </w:t>
      </w:r>
      <w:r>
        <w:t xml:space="preserve">Движок склоняет к извлечению из памяти и квизам с обратной связью вместо перечитывания — с микро-объяснением «почему так эффективнее».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«Полосы освоения навыков» (pyBKT). </w:t>
      </w:r>
      <w:r>
        <w:t xml:space="preserve">Интерпретируемая P(освоено) по навыкам; рекомендация следующего элемента в зоне оптимальной сложности.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«Лучшее время для занятий» — мягко. </w:t>
      </w:r>
      <w:r>
        <w:t xml:space="preserve">Подсказки на основе личных паттернов активности и циркадных принципов подростков (ранние утра субоптимальны), как рекомендация, а не приговор.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«Сигнал усталости» (опционально). </w:t>
      </w:r>
      <w:r>
        <w:t xml:space="preserve">Закрытие глаз/PERCLOS как физический индикатор усталости (не эмоция), с предложением сделать перерыв — рамка благополучия.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«Контекст благополучия с носимых» (опционально, с согласия). </w:t>
      </w:r>
      <w:r>
        <w:t xml:space="preserve">Дневной тренд сна/активности/ночной ВСР как фон, без реал-тайм-обещаний и без «стресс-баллов».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«Исследование интересов» (для профориентации, подростки). </w:t>
      </w:r>
      <w:r>
        <w:t xml:space="preserve">RIASEC-подход как инструмент исследования направлений, с дисклеймером об умеренной предсказательной валидности.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«Панель приватности и контроля». </w:t>
      </w:r>
      <w:r>
        <w:t xml:space="preserve">Родитель/ученик видит, что собирается, и может удалить/отключить; «сырое — на устройстве, на сервер — агрегаты» как видимая фича доверия.</w:t>
      </w:r>
    </w:p>
    <w:p>
      <w:pPr>
        <w:pStyle w:val="Heading1"/>
      </w:pPr>
      <w:r>
        <w:t xml:space="preserve">8. Честные заявления для инвесторов</w:t>
      </w:r>
    </w:p>
    <w:p>
      <w:pPr>
        <w:pStyle w:val="Heading2"/>
      </w:pPr>
      <w:r>
        <w:t xml:space="preserve">Можно говорить (защитимо)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«Мы измеряем наблюдаемые </w:t>
      </w:r>
      <w:r>
        <w:rPr>
          <w:b/>
          <w:bCs/>
        </w:rPr>
        <w:t xml:space="preserve">поведенческие прокси вовлечённости</w:t>
      </w:r>
      <w:r>
        <w:t xml:space="preserve"> — ориентацию на экран, моргание, время на задаче, паттерны попыток — и показываем эволюционирующие тренды.»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«Наш движок построен на двух техниках с </w:t>
      </w:r>
      <w:r>
        <w:rPr>
          <w:b/>
          <w:bCs/>
        </w:rPr>
        <w:t xml:space="preserve">наивысшей доказанной пользой</w:t>
      </w:r>
      <w:r>
        <w:t xml:space="preserve"> — интервальном повторении и извлечении из памяти; планировщик (FSRS) превосходит классику у ~97% пользователей и экономит ~20–30% повторений.»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«Приватность by design: </w:t>
      </w:r>
      <w:r>
        <w:rPr>
          <w:b/>
          <w:bCs/>
        </w:rPr>
        <w:t xml:space="preserve">сырые сигналы не покидают устройство</w:t>
      </w:r>
      <w:r>
        <w:t xml:space="preserve">, на сервер уходят только агрегаты — это и 152-ФЗ, и сильный аргумент „нет идентификации — нет биометрии“.»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«Аналитика — </w:t>
      </w:r>
      <w:r>
        <w:rPr>
          <w:b/>
          <w:bCs/>
        </w:rPr>
        <w:t xml:space="preserve">поддержка решений учителя и родителя</w:t>
      </w:r>
      <w:r>
        <w:t xml:space="preserve">, человек в контуре, профиль ребёнка — обновляемый тренд, не диагноз.»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«Дорожная карта честно разделяет: камера сейчас, носимые — близкая перспектива (с поправкой на батчевые API), EEG и глубокий KT — долгий R&amp;D.»</w:t>
      </w:r>
    </w:p>
    <w:p>
      <w:pPr>
        <w:pStyle w:val="Heading2"/>
      </w:pPr>
      <w:r>
        <w:t xml:space="preserve">Нельзя говорить (overclaim — убьёт due-diligence)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i/>
          <w:iCs/>
        </w:rPr>
        <w:t xml:space="preserve">«ИИ читает эмоции/настроение ученика по лицу»</w:t>
      </w:r>
      <w:r>
        <w:t xml:space="preserve"> — запрещено в образовании ЕС, научно спорно.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i/>
          <w:iCs/>
        </w:rPr>
        <w:t xml:space="preserve">«Измеряем мозговую активность/нейро-вовлечённость и предсказываем способности/IQ/талант»</w:t>
      </w:r>
      <w:r>
        <w:t xml:space="preserve"> — нет валидной методики, риск профилирования детей.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i/>
          <w:iCs/>
        </w:rPr>
        <w:t xml:space="preserve">«Определяем стиль обучения и подстраиваем под него»</w:t>
      </w:r>
      <w:r>
        <w:t xml:space="preserve"> — развенчанный нейромиф.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i/>
          <w:iCs/>
        </w:rPr>
        <w:t xml:space="preserve">«Клинически точный пульс/стресс с любой камеры»</w:t>
      </w:r>
      <w:r>
        <w:t xml:space="preserve"> — лабораторная цифра, дома неверна; «стресс-баллы» не валидированы.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i/>
          <w:iCs/>
        </w:rPr>
        <w:t xml:space="preserve">«GDPR/AI-Act-совместимое распознавание эмоций для классов»</w:t>
      </w:r>
      <w:r>
        <w:t xml:space="preserve"> — внутреннее противоречие.</w:t>
      </w:r>
    </w:p>
    <w:p>
      <w:r>
        <w:br w:type="page"/>
      </w:r>
    </w:p>
    <w:p>
      <w:pPr>
        <w:pStyle w:val="Heading1"/>
      </w:pPr>
      <w:r>
        <w:t xml:space="preserve">9. Ключевые спорные и неопределённые места (честно)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Спасает ли on-device + агрегаты от статуса «биометрии»? </w:t>
      </w:r>
      <w:r>
        <w:t xml:space="preserve">Сильный текстовый аргумент и по 152-ФЗ, и по GDPR (триггер — цель идентификации), НО это аргумент, не безопасная гавань. Определение биометрии в самом EU AI Act шире (без «уникальной идентификации»), поэтому для запрета эмоций «мы не идентифицируем» может не сработать. Это главная живая неоднозначность.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«Эмоции» vs «физические состояния» vs «выражения» vs «намерения». </w:t>
      </w:r>
      <w:r>
        <w:t xml:space="preserve">Усталость/боль исключены; голая улыбка — вне запрета (если из неё не выводят эмоцию); статус «намерений» и «настроения» неустойчив.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DKT &gt;&gt; BKT — преувеличено. </w:t>
      </w:r>
      <w:r>
        <w:t xml:space="preserve">Заголовочный отрыв ехал на дубликатах в данных (Xiong 2016) и слабом базлайне (Khajah 2016). Цитируйте бенчмарки (pyKT), не отдельные статьи.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«−20–30% повторений» у FSRS — валидировано экосистемой, не RCT. </w:t>
      </w:r>
      <w:r>
        <w:t xml:space="preserve">Превосходство по точности прогноза твёрдо (727 млн повторений); цифра экономии — из симуляций сообщества Anki, не измеренный прирост оценок.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Эффект синхронности (хронотип → «час пик»). </w:t>
      </w:r>
      <w:r>
        <w:t xml:space="preserve">Смешанные данные; заявляйте часть про сон подростков, хеджируйте индивидуальный тайминг.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Мета-анализ «стилей обучения» 2024 (g=0.31) </w:t>
      </w:r>
      <w:r>
        <w:t xml:space="preserve">будут цитировать против вас — упредите: корректный кроссовер лишь в 26% исходов, сами авторы против внедрения. Вердикт «развенчано» сохраняется.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Опубликованные ~90–98% точности EEG-«внимания» </w:t>
      </w:r>
      <w:r>
        <w:t xml:space="preserve">не переносятся в продукт: малые выборки, within-subject, риск артефактов. Кросс-субъектно гораздо ниже.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Штрафы и правоприменение </w:t>
      </w:r>
      <w:r>
        <w:t xml:space="preserve">(российские за биометрию; реальная практика ЕС для edtech) — цифры индикативны, практика только формируется.</w:t>
      </w:r>
    </w:p>
    <w:p>
      <w:r>
        <w:br w:type="page"/>
      </w:r>
    </w:p>
    <w:p>
      <w:pPr>
        <w:pStyle w:val="Heading1"/>
      </w:pPr>
      <w:r>
        <w:t xml:space="preserve">Источники</w:t>
      </w:r>
    </w:p>
    <w:p>
      <w:pPr>
        <w:spacing w:after="140" w:line="276"/>
      </w:pPr>
      <w:r>
        <w:t xml:space="preserve">Ссылки на международные первичные и авторитетные источники, сгруппированные по разделам.</w:t>
      </w:r>
    </w:p>
    <w:p>
      <w:pPr>
        <w:pStyle w:val="Heading2"/>
      </w:pPr>
      <w:r>
        <w:t xml:space="preserve">Камера: взгляд, поза, моргание, эмоции, rPPG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61h4jxvvo6lri6_m7b0vb">
        <w:r>
          <w:rPr>
            <w:rStyle w:val="Hyperlink"/>
            <w:sz w:val="18"/>
            <w:szCs w:val="18"/>
          </w:rPr>
          <w:t xml:space="preserve">Zhang et al. — Appearance-Based Gaze Estimation in the Wild (MPIIGaze, CVPR 2015)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wvgipmhtishltbquut2lk">
        <w:r>
          <w:rPr>
            <w:rStyle w:val="Hyperlink"/>
            <w:sz w:val="18"/>
            <w:szCs w:val="18"/>
          </w:rPr>
          <w:t xml:space="preserve">Automatic Gaze Analysis: A Survey of Deep Learning Approaches (arXiv 2108.05479) — провал кросс-датасет обобщения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ybyxiq9bryu5zjqdslnxw">
        <w:r>
          <w:rPr>
            <w:rStyle w:val="Hyperlink"/>
            <w:sz w:val="18"/>
            <w:szCs w:val="18"/>
          </w:rPr>
          <w:t xml:space="preserve">WebGazer: Scalable Webcam Eye Tracking (IJCAI 2016)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ujqkcdj_vfizknor8ddol">
        <w:r>
          <w:rPr>
            <w:rStyle w:val="Hyperlink"/>
            <w:sz w:val="18"/>
            <w:szCs w:val="18"/>
          </w:rPr>
          <w:t xml:space="preserve">Validation of WebGazer (PMC10841511) — потеря ~40% участников онлайн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lgdctfkhv903cnude4g66">
        <w:r>
          <w:rPr>
            <w:rStyle w:val="Hyperlink"/>
            <w:sz w:val="18"/>
            <w:szCs w:val="18"/>
          </w:rPr>
          <w:t xml:space="preserve">MediaPipe Face Landmarker (Google AI Edge) — что реально выдаёт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z1evtcjfv8x0nrdoqym8b">
        <w:r>
          <w:rPr>
            <w:rStyle w:val="Hyperlink"/>
            <w:sz w:val="18"/>
            <w:szCs w:val="18"/>
          </w:rPr>
          <w:t xml:space="preserve">NLML-HPE: Head Pose Estimation (arXiv 2507.18429) — AFLW2000/BIWI MAE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jizvrpfdvpgbbc7orbjmw">
        <w:r>
          <w:rPr>
            <w:rStyle w:val="Hyperlink"/>
            <w:sz w:val="18"/>
            <w:szCs w:val="18"/>
          </w:rPr>
          <w:t xml:space="preserve">Soukupová &amp; Čech — Real-Time Eye Blink Detection (CVWW 2016, EAR)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lzcbozhw3atimzf-cnnbn">
        <w:r>
          <w:rPr>
            <w:rStyle w:val="Hyperlink"/>
            <w:sz w:val="18"/>
            <w:szCs w:val="18"/>
          </w:rPr>
          <w:t xml:space="preserve">Drowsiness Detection Based on PERCLOS (PMC9323611)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nar6ahh34j522wx_f09kz">
        <w:r>
          <w:rPr>
            <w:rStyle w:val="Hyperlink"/>
            <w:sz w:val="18"/>
            <w:szCs w:val="18"/>
          </w:rPr>
          <w:t xml:space="preserve">DAiSEE: User Engagement Recognition in the Wild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zk1ydpizdcezicqi39phf">
        <w:r>
          <w:rPr>
            <w:rStyle w:val="Hyperlink"/>
            <w:sz w:val="18"/>
            <w:szCs w:val="18"/>
          </w:rPr>
          <w:t xml:space="preserve">Barrett et al. (2019) — Emotional Expressions Reconsidered (PMC6640856)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oumcbc7ty8s3zuav8cvb8">
        <w:r>
          <w:rPr>
            <w:rStyle w:val="Hyperlink"/>
            <w:sz w:val="18"/>
            <w:szCs w:val="18"/>
          </w:rPr>
          <w:t xml:space="preserve">ACLU — Experts Say 'Emotion Recognition' Lacks Scientific Foundation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k0pnqw8ia_tqbagg1zma_">
        <w:r>
          <w:rPr>
            <w:rStyle w:val="Hyperlink"/>
            <w:sz w:val="18"/>
            <w:szCs w:val="18"/>
          </w:rPr>
          <w:t xml:space="preserve">rPPG in the Wild: Remote HR via online webcams (Behavior Research Methods, 2024; PMC11362249)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ktvbuzp9-ppqzegjfs9ac">
        <w:r>
          <w:rPr>
            <w:rStyle w:val="Hyperlink"/>
            <w:sz w:val="18"/>
            <w:szCs w:val="18"/>
          </w:rPr>
          <w:t xml:space="preserve">Demographic bias in public rPPG datasets (npj Digital Medicine, 2025)</w:t>
        </w:r>
      </w:hyperlink>
    </w:p>
    <w:p>
      <w:pPr>
        <w:pStyle w:val="Heading2"/>
      </w:pPr>
      <w:r>
        <w:t xml:space="preserve">Носимые устройства и EEG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p4orj_syml8rrgk2rdqpl">
        <w:r>
          <w:rPr>
            <w:rStyle w:val="Hyperlink"/>
            <w:sz w:val="18"/>
            <w:szCs w:val="18"/>
          </w:rPr>
          <w:t xml:space="preserve">Accuracy of Consumer Wearable HR over 24h (JMIR mHealth 2019)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9xaq_ubpc9yp6cojthtkc">
        <w:r>
          <w:rPr>
            <w:rStyle w:val="Hyperlink"/>
            <w:sz w:val="18"/>
            <w:szCs w:val="18"/>
          </w:rPr>
          <w:t xml:space="preserve">Validity of Apple Watch 9 / Ultra 2 HRV vs Polar H10 (Sensors 2024) — MAPE ~29%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sv6pegofn2dv7776wzzrw">
        <w:r>
          <w:rPr>
            <w:rStyle w:val="Hyperlink"/>
            <w:sz w:val="18"/>
            <w:szCs w:val="18"/>
          </w:rPr>
          <w:t xml:space="preserve">Accuracy of Oura/Apple/Fitbit sleep vs PSG (Sensors 2024)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tqgwxzgpc_zpzlv-58v4d">
        <w:r>
          <w:rPr>
            <w:rStyle w:val="Hyperlink"/>
            <w:sz w:val="18"/>
            <w:szCs w:val="18"/>
          </w:rPr>
          <w:t xml:space="preserve">Accuracy of 11 Consumer Sleep Trackers (JMIR mHealth 2023)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4sxcbq0epzgouvvtevnnk">
        <w:r>
          <w:rPr>
            <w:rStyle w:val="Hyperlink"/>
            <w:sz w:val="18"/>
            <w:szCs w:val="18"/>
          </w:rPr>
          <w:t xml:space="preserve">Garmin Stress vs HRV (bioRxiv 2025)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j4djyomlxe4q5_-bizt41">
        <w:r>
          <w:rPr>
            <w:rStyle w:val="Hyperlink"/>
            <w:sz w:val="18"/>
            <w:szCs w:val="18"/>
          </w:rPr>
          <w:t xml:space="preserve">Validation of Fitbit Charge 5 HR &amp; EDA (PMC 2025)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lnqgxmjsts2gjts0k7o8c">
        <w:r>
          <w:rPr>
            <w:rStyle w:val="Hyperlink"/>
            <w:sz w:val="18"/>
            <w:szCs w:val="18"/>
          </w:rPr>
          <w:t xml:space="preserve">Validating MUSE for EEG spectral analysis (bioRxiv)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bufi0euvqmlnhqbkv5rrk">
        <w:r>
          <w:rPr>
            <w:rStyle w:val="Hyperlink"/>
            <w:sz w:val="18"/>
            <w:szCs w:val="18"/>
          </w:rPr>
          <w:t xml:space="preserve">Scoping review: consumer-grade EEG for research (PLOS One 2024)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ihruvjwtbxrkl-sgg9u7e">
        <w:r>
          <w:rPr>
            <w:rStyle w:val="Hyperlink"/>
            <w:sz w:val="18"/>
            <w:szCs w:val="18"/>
          </w:rPr>
          <w:t xml:space="preserve">EEG-based monitoring of student engagement in learning 4.0 (Scientific Reports 2022)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gyowdmvfi5xcyxem2ay_k">
        <w:r>
          <w:rPr>
            <w:rStyle w:val="Hyperlink"/>
            <w:sz w:val="18"/>
            <w:szCs w:val="18"/>
          </w:rPr>
          <w:t xml:space="preserve">Apple HealthKit limitations (Momentum)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_wtln-el1hfqloingfumy">
        <w:r>
          <w:rPr>
            <w:rStyle w:val="Hyperlink"/>
            <w:sz w:val="18"/>
            <w:szCs w:val="18"/>
          </w:rPr>
          <w:t xml:space="preserve">Fitbit Web API → Google Health API migration (Google Health Community)</w:t>
        </w:r>
      </w:hyperlink>
    </w:p>
    <w:p>
      <w:pPr>
        <w:pStyle w:val="Heading2"/>
      </w:pPr>
      <w:r>
        <w:t xml:space="preserve">Наука об обучении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a9wipqnm1qypgl5a4et3a">
        <w:r>
          <w:rPr>
            <w:rStyle w:val="Hyperlink"/>
            <w:sz w:val="18"/>
            <w:szCs w:val="18"/>
          </w:rPr>
          <w:t xml:space="preserve">Pashler, McDaniel, Rohrer &amp; Bjork (2008) — Learning Styles: Concepts and Evidence (PDF)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9b4ghukblknod0scn5liy">
        <w:r>
          <w:rPr>
            <w:rStyle w:val="Hyperlink"/>
            <w:sz w:val="18"/>
            <w:szCs w:val="18"/>
          </w:rPr>
          <w:t xml:space="preserve">Newton &amp; Salvi (2020) — 89.1% educators believe the neuromyth (Frontiers)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wy87xg8xeolvl636uv7rg">
        <w:r>
          <w:rPr>
            <w:rStyle w:val="Hyperlink"/>
            <w:sz w:val="18"/>
            <w:szCs w:val="18"/>
          </w:rPr>
          <w:t xml:space="preserve">Clinton-Lisell &amp; Litzinger (2024) — meta-analysis (g=0.31; crossover only 26%)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2mckcldfzo2ahbvagyyfm">
        <w:r>
          <w:rPr>
            <w:rStyle w:val="Hyperlink"/>
            <w:sz w:val="18"/>
            <w:szCs w:val="18"/>
          </w:rPr>
          <w:t xml:space="preserve">AAP — School Start Times for Adolescents (2014)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wlyxkv8pg66vqgsfv9vvm">
        <w:r>
          <w:rPr>
            <w:rStyle w:val="Hyperlink"/>
            <w:sz w:val="18"/>
            <w:szCs w:val="18"/>
          </w:rPr>
          <w:t xml:space="preserve">Chronotype &amp; synchrony: 'no general and robust cognitive boost' (Collabra, 2023)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2t0nsqqw9vnywzsnamoo-">
        <w:r>
          <w:rPr>
            <w:rStyle w:val="Hyperlink"/>
            <w:sz w:val="18"/>
            <w:szCs w:val="18"/>
          </w:rPr>
          <w:t xml:space="preserve">Cepeda et al. (2006) — Distributed Practice meta-analysis (PDF)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ywa0u8aiihsykr8n7obaf">
        <w:r>
          <w:rPr>
            <w:rStyle w:val="Hyperlink"/>
            <w:sz w:val="18"/>
            <w:szCs w:val="18"/>
          </w:rPr>
          <w:t xml:space="preserve">Dunlosky et al. (2013) — Improving Students' Learning (APS/PSPI)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thgwbqm0jfx_-ecpzwbui">
        <w:r>
          <w:rPr>
            <w:rStyle w:val="Hyperlink"/>
            <w:sz w:val="18"/>
            <w:szCs w:val="18"/>
          </w:rPr>
          <w:t xml:space="preserve">Ryan &amp; Deci (2000) — Self-Determination Theory (PDF)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tzyxpg0gyer746tkeshsj">
        <w:r>
          <w:rPr>
            <w:rStyle w:val="Hyperlink"/>
            <w:sz w:val="18"/>
            <w:szCs w:val="18"/>
          </w:rPr>
          <w:t xml:space="preserve">Nye, Su, Rounds &amp; Drasgow (2012) — Vocational Interests &amp; Performance (SAGE)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wof4hqcw6prtiq-dsmw0a">
        <w:r>
          <w:rPr>
            <w:rStyle w:val="Hyperlink"/>
            <w:sz w:val="18"/>
            <w:szCs w:val="18"/>
          </w:rPr>
          <w:t xml:space="preserve">Jussim &amp; Harber (2005) — Teacher Expectations &amp; Self-Fulfilling Prophecies (PDF)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ru9mihjjhfdkvynzdtets">
        <w:r>
          <w:rPr>
            <w:rStyle w:val="Hyperlink"/>
            <w:sz w:val="18"/>
            <w:szCs w:val="18"/>
          </w:rPr>
          <w:t xml:space="preserve">Why MBTI is considered pseudoscience (reliability/validity critique)</w:t>
        </w:r>
      </w:hyperlink>
    </w:p>
    <w:p>
      <w:pPr>
        <w:pStyle w:val="Heading2"/>
      </w:pPr>
      <w:r>
        <w:t xml:space="preserve">Движок рекомендаций / адаптивное обучение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1-q-3thy1e50sn4v_jnem">
        <w:r>
          <w:rPr>
            <w:rStyle w:val="Hyperlink"/>
            <w:sz w:val="18"/>
            <w:szCs w:val="18"/>
          </w:rPr>
          <w:t xml:space="preserve">SRS Benchmark — FSRS vs SM-2 vs HLR (727M reviews)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e7bu693uacgf9f8mxwupi">
        <w:r>
          <w:rPr>
            <w:rStyle w:val="Hyperlink"/>
            <w:sz w:val="18"/>
            <w:szCs w:val="18"/>
          </w:rPr>
          <w:t xml:space="preserve">py-fsrs — reference implementation (MIT)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-f2byebeu9pahcbv6douy">
        <w:r>
          <w:rPr>
            <w:rStyle w:val="Hyperlink"/>
            <w:sz w:val="18"/>
            <w:szCs w:val="18"/>
          </w:rPr>
          <w:t xml:space="preserve">Settles &amp; Meeder (2016) — Half-Life Regression (Duolingo, PDF)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m5hqa6_8kxqnrewpedjig">
        <w:r>
          <w:rPr>
            <w:rStyle w:val="Hyperlink"/>
            <w:sz w:val="18"/>
            <w:szCs w:val="18"/>
          </w:rPr>
          <w:t xml:space="preserve">Roediger &amp; Karpicke (2006) — Test-Enhanced Learning (SAGE)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lqlucmokovjfvxdh-1gq6">
        <w:r>
          <w:rPr>
            <w:rStyle w:val="Hyperlink"/>
            <w:sz w:val="18"/>
            <w:szCs w:val="18"/>
          </w:rPr>
          <w:t xml:space="preserve">Adesope et al. (2017) — Rethinking the Use of Tests, meta-analysis (g≈0.61)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9b84oxv6mcu-vb0qf6uwu">
        <w:r>
          <w:rPr>
            <w:rStyle w:val="Hyperlink"/>
            <w:sz w:val="18"/>
            <w:szCs w:val="18"/>
          </w:rPr>
          <w:t xml:space="preserve">Piech et al. (2015) — Deep Knowledge Tracing (PDF)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brvgxykcrtg2ligcuxyfw">
        <w:r>
          <w:rPr>
            <w:rStyle w:val="Hyperlink"/>
            <w:sz w:val="18"/>
            <w:szCs w:val="18"/>
          </w:rPr>
          <w:t xml:space="preserve">Khajah, Lindsey &amp; Mozer (2016) — How Deep is Knowledge Tracing? (arXiv)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yy3-hbr7mhs8hc9c5ln5u">
        <w:r>
          <w:rPr>
            <w:rStyle w:val="Hyperlink"/>
            <w:sz w:val="18"/>
            <w:szCs w:val="18"/>
          </w:rPr>
          <w:t xml:space="preserve">Xiong et al. (2016) — Going Deeper with DKT (data leakage)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btbrwrv4gig9l71oa2ufo">
        <w:r>
          <w:rPr>
            <w:rStyle w:val="Hyperlink"/>
            <w:sz w:val="18"/>
            <w:szCs w:val="18"/>
          </w:rPr>
          <w:t xml:space="preserve">Liu et al. (2022) — pyKT benchmark library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oai1wppkm5vbzwdgmtrgm">
        <w:r>
          <w:rPr>
            <w:rStyle w:val="Hyperlink"/>
            <w:sz w:val="18"/>
            <w:szCs w:val="18"/>
          </w:rPr>
          <w:t xml:space="preserve">pyBKT — Accessible Python BKT (UC Berkeley, EDM 2021)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2h5jlh-v0d_nojj6i4lao">
        <w:r>
          <w:rPr>
            <w:rStyle w:val="Hyperlink"/>
            <w:sz w:val="18"/>
            <w:szCs w:val="18"/>
          </w:rPr>
          <w:t xml:space="preserve">VanLehn (2011) — Relative Effectiveness of Tutoring &amp; ITS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_rnqx29d2er30m2sy5xoc">
        <w:r>
          <w:rPr>
            <w:rStyle w:val="Hyperlink"/>
            <w:sz w:val="18"/>
            <w:szCs w:val="18"/>
          </w:rPr>
          <w:t xml:space="preserve">Pane et al. (2014) — Cognitive Tutor Algebra I at Scale (d≈0.20)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drklf7x2hbcjdthyhshqi">
        <w:r>
          <w:rPr>
            <w:rStyle w:val="Hyperlink"/>
            <w:sz w:val="18"/>
            <w:szCs w:val="18"/>
          </w:rPr>
          <w:t xml:space="preserve">Yancey &amp; Settles (2020) — Bandit for Recurring Notifications (Duolingo, KDD)</w:t>
        </w:r>
      </w:hyperlink>
    </w:p>
    <w:p>
      <w:pPr>
        <w:pStyle w:val="Heading2"/>
      </w:pPr>
      <w:r>
        <w:t xml:space="preserve">Этика и право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0iernfv4qn9lrw_qzssaq">
        <w:r>
          <w:rPr>
            <w:rStyle w:val="Hyperlink"/>
            <w:sz w:val="18"/>
            <w:szCs w:val="18"/>
          </w:rPr>
          <w:t xml:space="preserve">EU AI Act — Article 5: Prohibited AI Practices (official-text mirror)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yaioghcrnfma9zeabkcqf">
        <w:r>
          <w:rPr>
            <w:rStyle w:val="Hyperlink"/>
            <w:sz w:val="18"/>
            <w:szCs w:val="18"/>
          </w:rPr>
          <w:t xml:space="preserve">FPF — Red Lines: emotion recognition in workplace &amp; education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jxcw20mdgwas6khrdn3oh">
        <w:r>
          <w:rPr>
            <w:rStyle w:val="Hyperlink"/>
            <w:sz w:val="18"/>
            <w:szCs w:val="18"/>
          </w:rPr>
          <w:t xml:space="preserve">European Commission Guidelines on Prohibited AI Practices (Covington analysis)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xqjlcjvgr6rdscp8c9zxv">
        <w:r>
          <w:rPr>
            <w:rStyle w:val="Hyperlink"/>
            <w:sz w:val="18"/>
            <w:szCs w:val="18"/>
          </w:rPr>
          <w:t xml:space="preserve">EPALE — Commission Guidelines on Prohibited AI Practices in Education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x75l0xws5vadlzo1zh98h">
        <w:r>
          <w:rPr>
            <w:rStyle w:val="Hyperlink"/>
            <w:sz w:val="18"/>
            <w:szCs w:val="18"/>
          </w:rPr>
          <w:t xml:space="preserve">Art. 9 GDPR — Special categories of personal data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nrez0y3jgiunykpswkjso">
        <w:r>
          <w:rPr>
            <w:rStyle w:val="Hyperlink"/>
            <w:sz w:val="18"/>
            <w:szCs w:val="18"/>
          </w:rPr>
          <w:t xml:space="preserve">Art. 8 GDPR — Conditions applicable to child's consent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n1hqykgipm6ygfx2bi_pw">
        <w:r>
          <w:rPr>
            <w:rStyle w:val="Hyperlink"/>
            <w:sz w:val="18"/>
            <w:szCs w:val="18"/>
          </w:rPr>
          <w:t xml:space="preserve">Разъяснения Роскомнадзора об отнесении к биометрическим ПДн (legalacts.ru)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nrznpt0_3uoemn-km-ntr">
        <w:r>
          <w:rPr>
            <w:rStyle w:val="Hyperlink"/>
            <w:sz w:val="18"/>
            <w:szCs w:val="18"/>
          </w:rPr>
          <w:t xml:space="preserve">Емельянников — «Нет идентификации — нет биометрии» (Anti-Malware.ru)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cfoucoyuueyveoyiargmt">
        <w:r>
          <w:rPr>
            <w:rStyle w:val="Hyperlink"/>
            <w:sz w:val="18"/>
            <w:szCs w:val="18"/>
          </w:rPr>
          <w:t xml:space="preserve">Ст. 11 152-ФЗ «Биометрические персональные данные» (КонсультантПлюс)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keskjz-jvua5u_fdtjzxd">
        <w:r>
          <w:rPr>
            <w:rStyle w:val="Hyperlink"/>
            <w:sz w:val="18"/>
            <w:szCs w:val="18"/>
          </w:rPr>
          <w:t xml:space="preserve">Russia 572-FZ — legal framework for biometric data (Biometric Update)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jvw4fz7ytw2qwwt172weu">
        <w:r>
          <w:rPr>
            <w:rStyle w:val="Hyperlink"/>
            <w:sz w:val="18"/>
            <w:szCs w:val="18"/>
          </w:rPr>
          <w:t xml:space="preserve">FTC — Finalizes Changes to Children's Privacy Rule (COPPA, 2025)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gjueehhh4lbwzaaw52dho">
        <w:r>
          <w:rPr>
            <w:rStyle w:val="Hyperlink"/>
            <w:sz w:val="18"/>
            <w:szCs w:val="18"/>
          </w:rPr>
          <w:t xml:space="preserve">UNICEF — Policy guidance on AI for children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9mcm8zollhaer2owldncy">
        <w:r>
          <w:rPr>
            <w:rStyle w:val="Hyperlink"/>
            <w:sz w:val="18"/>
            <w:szCs w:val="18"/>
          </w:rPr>
          <w:t xml:space="preserve">UNESCO — Recommendation on the Ethics of AI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0lz62lvw2k_v5mvfkety3">
        <w:r>
          <w:rPr>
            <w:rStyle w:val="Hyperlink"/>
            <w:sz w:val="18"/>
            <w:szCs w:val="18"/>
          </w:rPr>
          <w:t xml:space="preserve">OECD — AI Principles</w:t>
        </w:r>
      </w:hyperlink>
    </w:p>
    <w:p>
      <w:pPr>
        <w:spacing w:after="60"/>
      </w:pPr>
      <w:r>
        <w:t xml:space="preserve"/>
      </w:r>
    </w:p>
    <w:p>
      <w:pPr>
        <w:pBdr>
          <w:top w:val="single" w:color="2E75B6" w:sz="6" w:space="6"/>
        </w:pBdr>
        <w:spacing w:after="60" w:before="120"/>
      </w:pPr>
      <w:r>
        <w:t xml:space="preserve"/>
      </w:r>
    </w:p>
    <w:p>
      <w:pPr>
        <w:spacing w:after="140" w:line="276"/>
      </w:pPr>
      <w:r>
        <w:t xml:space="preserve">Методологическая заметка: отчёт построен на пяти параллельных исследовательских проходах (камера, носимые/EEG, наука об обучении, движок рекомендаций, право/этика) с состязательной проверкой спорных утверждений. Два несущих юридических факта (запрет эмоций в образовании по EU AI Act, ст. 5(1)(f), с 02.02.2025; критерий «использования для идентификации» в 152-ФЗ) подтверждены по первичным источникам. Все количественные утверждения снабжены ссылками; завышенные/демо-цифры явно отделены от лабораторных и полевых.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3A4"/>
        <w:sz w:val="16"/>
        <w:szCs w:val="16"/>
      </w:rPr>
      <w:t xml:space="preserve">Flamingo · конфиденциально · </w:t>
    </w:r>
    <w:r>
      <w:rPr>
        <w:color w:val="8893A4"/>
        <w:sz w:val="16"/>
        <w:szCs w:val="16"/>
      </w:rPr>
      <w:t xml:space="preserve">стр. </w:t>
    </w:r>
    <w:r>
      <w:rPr>
        <w:color w:val="8893A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2" w:sz="4" w:space="4"/>
      </w:pBdr>
      <w:spacing w:after="0"/>
      <w:jc w:val="right"/>
    </w:pPr>
    <w:r>
      <w:rPr>
        <w:color w:val="8893A4"/>
        <w:sz w:val="16"/>
        <w:szCs w:val="16"/>
      </w:rPr>
      <w:t xml:space="preserve">SEduM-аналитика · R&amp;D-отчёт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3B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1h4jxvvo6lri6_m7b0vb" Type="http://schemas.openxmlformats.org/officeDocument/2006/relationships/hyperlink" Target="https://openaccess.thecvf.com/content_cvpr_2015/papers/Zhang_Appearance-Based_Gaze_Estimation_2015_CVPR_paper.pdf" TargetMode="External"/><Relationship Id="rIdwvgipmhtishltbquut2lk" Type="http://schemas.openxmlformats.org/officeDocument/2006/relationships/hyperlink" Target="https://arxiv.org/pdf/2108.05479" TargetMode="External"/><Relationship Id="rIdybyxiq9bryu5zjqdslnxw" Type="http://schemas.openxmlformats.org/officeDocument/2006/relationships/hyperlink" Target="https://jeffhuang.com/papers/WebGazer_IJCAI16.pdf" TargetMode="External"/><Relationship Id="rIdujqkcdj_vfizknor8ddol" Type="http://schemas.openxmlformats.org/officeDocument/2006/relationships/hyperlink" Target="https://pmc.ncbi.nlm.nih.gov/articles/PMC10841511/" TargetMode="External"/><Relationship Id="rIdlgdctfkhv903cnude4g66" Type="http://schemas.openxmlformats.org/officeDocument/2006/relationships/hyperlink" Target="https://ai.google.dev/edge/mediapipe/solutions/vision/face_landmarker" TargetMode="External"/><Relationship Id="rIdz1evtcjfv8x0nrdoqym8b" Type="http://schemas.openxmlformats.org/officeDocument/2006/relationships/hyperlink" Target="https://arxiv.org/html/2507.18429" TargetMode="External"/><Relationship Id="rIdjizvrpfdvpgbbc7orbjmw" Type="http://schemas.openxmlformats.org/officeDocument/2006/relationships/hyperlink" Target="https://vision.fe.uni-lj.si/cvww2016/proceedings/papers/05.pdf" TargetMode="External"/><Relationship Id="rIdlzcbozhw3atimzf-cnnbn" Type="http://schemas.openxmlformats.org/officeDocument/2006/relationships/hyperlink" Target="https://pmc.ncbi.nlm.nih.gov/articles/PMC9323611/" TargetMode="External"/><Relationship Id="rIdnar6ahh34j522wx_f09kz" Type="http://schemas.openxmlformats.org/officeDocument/2006/relationships/hyperlink" Target="https://www.semanticscholar.org/paper/DAiSEE:-Towards-User-Engagement-Recognition-in-the-Gupta-D&apos;Cunha/9637271c5cde188df38e9e59550fac0e8b8a34f0" TargetMode="External"/><Relationship Id="rIdzk1ydpizdcezicqi39phf" Type="http://schemas.openxmlformats.org/officeDocument/2006/relationships/hyperlink" Target="https://pmc.ncbi.nlm.nih.gov/articles/PMC6640856/" TargetMode="External"/><Relationship Id="rIdoumcbc7ty8s3zuav8cvb8" Type="http://schemas.openxmlformats.org/officeDocument/2006/relationships/hyperlink" Target="https://www.aclu.org/news/privacy-technology/experts-say-emotion-recognition-lacks-scientific" TargetMode="External"/><Relationship Id="rIdk0pnqw8ia_tqbagg1zma_" Type="http://schemas.openxmlformats.org/officeDocument/2006/relationships/hyperlink" Target="https://www.ncbi.nlm.nih.gov/pmc/articles/PMC11362249/" TargetMode="External"/><Relationship Id="rIdktvbuzp9-ppqzegjfs9ac" Type="http://schemas.openxmlformats.org/officeDocument/2006/relationships/hyperlink" Target="https://www.nature.com/articles/s41746-025-01973-9" TargetMode="External"/><Relationship Id="rIdp4orj_syml8rrgk2rdqpl" Type="http://schemas.openxmlformats.org/officeDocument/2006/relationships/hyperlink" Target="https://mhealth.jmir.org/2019/3/e10828" TargetMode="External"/><Relationship Id="rId9xaq_ubpc9yp6cojthtkc" Type="http://schemas.openxmlformats.org/officeDocument/2006/relationships/hyperlink" Target="https://www.mdpi.com/1424-8220/24/19/6220" TargetMode="External"/><Relationship Id="rIdsv6pegofn2dv7776wzzrw" Type="http://schemas.openxmlformats.org/officeDocument/2006/relationships/hyperlink" Target="https://www.mdpi.com/1424-8220/24/20/6532" TargetMode="External"/><Relationship Id="rIdtqgwxzgpc_zpzlv-58v4d" Type="http://schemas.openxmlformats.org/officeDocument/2006/relationships/hyperlink" Target="https://mhealth.jmir.org/2023/1/e50983" TargetMode="External"/><Relationship Id="rId4sxcbq0epzgouvvtevnnk" Type="http://schemas.openxmlformats.org/officeDocument/2006/relationships/hyperlink" Target="https://www.biorxiv.org/content/10.1101/2025.01.06.630177.full.pdf" TargetMode="External"/><Relationship Id="rIdj4djyomlxe4q5_-bizt41" Type="http://schemas.openxmlformats.org/officeDocument/2006/relationships/hyperlink" Target="https://pmc.ncbi.nlm.nih.gov/articles/PMC12308623/" TargetMode="External"/><Relationship Id="rIdlnqgxmjsts2gjts0k7o8c" Type="http://schemas.openxmlformats.org/officeDocument/2006/relationships/hyperlink" Target="https://www.biorxiv.org/content/10.1101/2021.11.02.466989.full.pdf" TargetMode="External"/><Relationship Id="rIdbufi0euvqmlnhqbkv5rrk" Type="http://schemas.openxmlformats.org/officeDocument/2006/relationships/hyperlink" Target="https://journals.plos.org/plosone/article?id=10.1371%2Fjournal.pone.0291186" TargetMode="External"/><Relationship Id="rIdihruvjwtbxrkl-sgg9u7e" Type="http://schemas.openxmlformats.org/officeDocument/2006/relationships/hyperlink" Target="https://www.nature.com/articles/s41598-022-09578-y" TargetMode="External"/><Relationship Id="rIdgyowdmvfi5xcyxem2ay_k" Type="http://schemas.openxmlformats.org/officeDocument/2006/relationships/hyperlink" Target="https://www.themomentum.ai/blog/what-you-can-and-cant-do-with-apple-healthkit-data" TargetMode="External"/><Relationship Id="rId_wtln-el1hfqloingfumy" Type="http://schemas.openxmlformats.org/officeDocument/2006/relationships/hyperlink" Target="https://support.google.com/googlehealth/thread/434943730/introducing-the-next-phase-of-the-fitbit-web-api?hl=en" TargetMode="External"/><Relationship Id="rIda9wipqnm1qypgl5a4et3a" Type="http://schemas.openxmlformats.org/officeDocument/2006/relationships/hyperlink" Target="https://bjorklab.psych.ucla.edu/wp-content/uploads/sites/13/2016/07/Pashler_McDaniel_Rohrer_Bjork_2009_PSPI.pdf" TargetMode="External"/><Relationship Id="rId9b4ghukblknod0scn5liy" Type="http://schemas.openxmlformats.org/officeDocument/2006/relationships/hyperlink" Target="https://www.frontiersin.org/journals/education/articles/10.3389/feduc.2020.602451/full" TargetMode="External"/><Relationship Id="rIdwy87xg8xeolvl636uv7rg" Type="http://schemas.openxmlformats.org/officeDocument/2006/relationships/hyperlink" Target="https://www.frontiersin.org/journals/psychology/articles/10.3389/fpsyg.2024.1428732/full" TargetMode="External"/><Relationship Id="rId2mckcldfzo2ahbvagyyfm" Type="http://schemas.openxmlformats.org/officeDocument/2006/relationships/hyperlink" Target="https://publications.aap.org/pediatrics/article/134/3/642/74175/School-Start-Times-for-Adolescents" TargetMode="External"/><Relationship Id="rIdwlyxkv8pg66vqgsfv9vvm" Type="http://schemas.openxmlformats.org/officeDocument/2006/relationships/hyperlink" Target="https://online.ucpress.edu/collabra/article/9/1/88337/197502/The-Interplay-of-Time-of-day-and-Chronotype" TargetMode="External"/><Relationship Id="rId2t0nsqqw9vnywzsnamoo-" Type="http://schemas.openxmlformats.org/officeDocument/2006/relationships/hyperlink" Target="https://augmentingcognition.com/assets/Cepeda2006.pdf" TargetMode="External"/><Relationship Id="rIdywa0u8aiihsykr8n7obaf" Type="http://schemas.openxmlformats.org/officeDocument/2006/relationships/hyperlink" Target="https://www.psychologicalscience.org/publications/journals/pspi/learning-techniques.html" TargetMode="External"/><Relationship Id="rIdthgwbqm0jfx_-ecpzwbui" Type="http://schemas.openxmlformats.org/officeDocument/2006/relationships/hyperlink" Target="https://selfdeterminationtheory.org/SDT/documents/2000_RyanDeci_SDT.pdf" TargetMode="External"/><Relationship Id="rIdtzyxpg0gyer746tkeshsj" Type="http://schemas.openxmlformats.org/officeDocument/2006/relationships/hyperlink" Target="https://journals.sagepub.com/doi/abs/10.1177/1745691612449021" TargetMode="External"/><Relationship Id="rIdwof4hqcw6prtiq-dsmw0a" Type="http://schemas.openxmlformats.org/officeDocument/2006/relationships/hyperlink" Target="http://nwkpsych.rutgers.edu/~kharber/publications/Jussim.&amp;.Harber.2005.%20Teacher%20Expectations%20and%20Self-Fulfilling%20Prophesies.pdf" TargetMode="External"/><Relationship Id="rIdru9mihjjhfdkvynzdtets" Type="http://schemas.openxmlformats.org/officeDocument/2006/relationships/hyperlink" Target="https://bigfive-test.com/articles/mbti_pseudoscience" TargetMode="External"/><Relationship Id="rId1-q-3thy1e50sn4v_jnem" Type="http://schemas.openxmlformats.org/officeDocument/2006/relationships/hyperlink" Target="https://github.com/open-spaced-repetition/srs-benchmark" TargetMode="External"/><Relationship Id="rIde7bu693uacgf9f8mxwupi" Type="http://schemas.openxmlformats.org/officeDocument/2006/relationships/hyperlink" Target="https://github.com/open-spaced-repetition/py-fsrs" TargetMode="External"/><Relationship Id="rId-f2byebeu9pahcbv6douy" Type="http://schemas.openxmlformats.org/officeDocument/2006/relationships/hyperlink" Target="https://research.duolingo.com/papers/settles.acl16.pdf" TargetMode="External"/><Relationship Id="rIdm5hqa6_8kxqnrewpedjig" Type="http://schemas.openxmlformats.org/officeDocument/2006/relationships/hyperlink" Target="https://journals.sagepub.com/doi/abs/10.1111/j.1467-9280.2006.01693.x" TargetMode="External"/><Relationship Id="rIdlqlucmokovjfvxdh-1gq6" Type="http://schemas.openxmlformats.org/officeDocument/2006/relationships/hyperlink" Target="https://journals.sagepub.com/doi/abs/10.3102/0034654316689306" TargetMode="External"/><Relationship Id="rId9b84oxv6mcu-vb0qf6uwu" Type="http://schemas.openxmlformats.org/officeDocument/2006/relationships/hyperlink" Target="https://stanford.edu/~cpiech/bio/papers/deepKnowledgeTracing.pdf" TargetMode="External"/><Relationship Id="rIdbrvgxykcrtg2ligcuxyfw" Type="http://schemas.openxmlformats.org/officeDocument/2006/relationships/hyperlink" Target="https://arxiv.org/abs/1604.02416" TargetMode="External"/><Relationship Id="rIdyy3-hbr7mhs8hc9c5ln5u" Type="http://schemas.openxmlformats.org/officeDocument/2006/relationships/hyperlink" Target="http://beardeer.github.io/wpi_public_html/papers/edm_2016_xiong_zhao.pdf" TargetMode="External"/><Relationship Id="rIdbtbrwrv4gig9l71oa2ufo" Type="http://schemas.openxmlformats.org/officeDocument/2006/relationships/hyperlink" Target="https://arxiv.org/pdf/2206.11460" TargetMode="External"/><Relationship Id="rIdoai1wppkm5vbzwdgmtrgm" Type="http://schemas.openxmlformats.org/officeDocument/2006/relationships/hyperlink" Target="https://github.com/CAHLR/pyBKT" TargetMode="External"/><Relationship Id="rId2h5jlh-v0d_nojj6i4lao" Type="http://schemas.openxmlformats.org/officeDocument/2006/relationships/hyperlink" Target="https://www.tandfonline.com/doi/abs/10.1080/00461520.2011.611369" TargetMode="External"/><Relationship Id="rId_rnqx29d2er30m2sy5xoc" Type="http://schemas.openxmlformats.org/officeDocument/2006/relationships/hyperlink" Target="https://journals.sagepub.com/doi/abs/10.3102/0162373713507480" TargetMode="External"/><Relationship Id="rIddrklf7x2hbcjdthyhshqi" Type="http://schemas.openxmlformats.org/officeDocument/2006/relationships/hyperlink" Target="https://research.duolingo.com/papers/yancey.kdd20.pdf" TargetMode="External"/><Relationship Id="rId0iernfv4qn9lrw_qzssaq" Type="http://schemas.openxmlformats.org/officeDocument/2006/relationships/hyperlink" Target="https://artificialintelligenceact.eu/article/5/" TargetMode="External"/><Relationship Id="rIdyaioghcrnfma9zeabkcqf" Type="http://schemas.openxmlformats.org/officeDocument/2006/relationships/hyperlink" Target="https://fpf.org/blog/red-lines-under-eu-ai-act-unpacking-the-prohibition-of-emotion-recognition-in-the-workplace-and-education-institutions/" TargetMode="External"/><Relationship Id="rIdjxcw20mdgwas6khrdn3oh" Type="http://schemas.openxmlformats.org/officeDocument/2006/relationships/hyperlink" Target="https://www.insideprivacy.com/artificial-intelligence/european-commission-guidelines-on-prohibited-ai-practices-under-the-eu-artificial-intelligence-act/" TargetMode="External"/><Relationship Id="rIdxqjlcjvgr6rdscp8c9zxv" Type="http://schemas.openxmlformats.org/officeDocument/2006/relationships/hyperlink" Target="https://epale.ec.europa.eu/en/content/commission-guidelines-prohibited-ai-practices-education" TargetMode="External"/><Relationship Id="rIdx75l0xws5vadlzo1zh98h" Type="http://schemas.openxmlformats.org/officeDocument/2006/relationships/hyperlink" Target="https://gdpr-info.eu/art-9-gdpr/" TargetMode="External"/><Relationship Id="rIdnrez0y3jgiunykpswkjso" Type="http://schemas.openxmlformats.org/officeDocument/2006/relationships/hyperlink" Target="https://gdpr-info.eu/art-8-gdpr/" TargetMode="External"/><Relationship Id="rIdn1hqykgipm6ygfx2bi_pw" Type="http://schemas.openxmlformats.org/officeDocument/2006/relationships/hyperlink" Target="https://legalacts.ru/doc/razjasnenija-roskomnadzora-o-voprosakh-otnesenija-foto-i/" TargetMode="External"/><Relationship Id="rIdnrznpt0_3uoemn-km-ntr" Type="http://schemas.openxmlformats.org/officeDocument/2006/relationships/hyperlink" Target="https://www.anti-malware.ru/analytics/Technology_Analysis/New-Roskomnadzor-explanations" TargetMode="External"/><Relationship Id="rIdcfoucoyuueyveoyiargmt" Type="http://schemas.openxmlformats.org/officeDocument/2006/relationships/hyperlink" Target="https://www.consultant.ru/document/cons_doc_LAW_61801/7336c78762a98b5f4f698b8c3800dca1111acc16/" TargetMode="External"/><Relationship Id="rIdkeskjz-jvua5u_fdtjzxd" Type="http://schemas.openxmlformats.org/officeDocument/2006/relationships/hyperlink" Target="https://www.biometricupdate.com/202212/russian-lawmakers-okay-legal-framework-for-biometric-data-collection-and-processing" TargetMode="External"/><Relationship Id="rIdjvw4fz7ytw2qwwt172weu" Type="http://schemas.openxmlformats.org/officeDocument/2006/relationships/hyperlink" Target="https://www.ftc.gov/news-events/news/press-releases/2025/01/ftc-finalizes-changes-childrens-privacy-rule-limiting-companies-ability-monetize-kids-data" TargetMode="External"/><Relationship Id="rIdgjueehhh4lbwzaaw52dho" Type="http://schemas.openxmlformats.org/officeDocument/2006/relationships/hyperlink" Target="https://www.unicef.org/innocenti/reports/policy-guidance-ai-children" TargetMode="External"/><Relationship Id="rId9mcm8zollhaer2owldncy" Type="http://schemas.openxmlformats.org/officeDocument/2006/relationships/hyperlink" Target="https://www.unesco.org/en/articles/recommendation-ethics-artificial-intelligence" TargetMode="External"/><Relationship Id="rId0lz62lvw2k_v5mvfkety3" Type="http://schemas.openxmlformats.org/officeDocument/2006/relationships/hyperlink" Target="https://oecd.ai/en/ai-principles" TargetMode="External"/><Relationship Id="rId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SEduM-аналитика — R&amp;D-отчёт</dc:title>
  <dc:creator>Flamingo R&amp;D</dc:creator>
  <cp:lastModifiedBy>Un-named</cp:lastModifiedBy>
  <cp:revision>1</cp:revision>
  <dcterms:created xsi:type="dcterms:W3CDTF">2026-06-17T17:39:15.570Z</dcterms:created>
  <dcterms:modified xsi:type="dcterms:W3CDTF">2026-06-17T17:39:15.570Z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