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color w:val="6E6456"/>
          <w:sz w:val="20"/>
          <w:szCs w:val="20"/>
        </w:rPr>
        <w:t xml:space="preserve">№ FL-2026/114 от 13 июня 2026 г.</w:t>
      </w:r>
    </w:p>
    <w:p>
      <w:pPr>
        <w:spacing w:after="40"/>
        <w:jc w:val="right"/>
      </w:pPr>
      <w:r>
        <w:rPr>
          <w:color w:val="2A2520"/>
          <w:sz w:val="21"/>
          <w:szCs w:val="21"/>
        </w:rPr>
        <w:t xml:space="preserve">Директору МБОУ «Средняя школа № 7»</w:t>
      </w:r>
    </w:p>
    <w:p>
      <w:pPr>
        <w:spacing w:after="40"/>
        <w:jc w:val="right"/>
      </w:pPr>
      <w:r>
        <w:rPr>
          <w:color w:val="2A2520"/>
          <w:sz w:val="21"/>
          <w:szCs w:val="21"/>
        </w:rPr>
        <w:t xml:space="preserve">М. П. Ивановой</w:t>
      </w:r>
    </w:p>
    <w:p>
      <w:pPr>
        <w:spacing w:after="120"/>
      </w:pPr>
    </w:p>
    <w:p>
      <w:pPr>
        <w:pBdr>
          <w:bottom w:val="single" w:color="BE4622" w:sz="8" w:space="6"/>
        </w:pBdr>
        <w:spacing w:after="220" w:before="80"/>
        <w:jc w:val="center"/>
      </w:pPr>
      <w:r>
        <w:rPr>
          <w:rFonts w:ascii="IBM Plex Sans SemiBold" w:cs="IBM Plex Sans SemiBold" w:eastAsia="IBM Plex Sans SemiBold" w:hAnsi="IBM Plex Sans SemiBold"/>
          <w:color w:val="2A2520"/>
          <w:sz w:val="28"/>
          <w:szCs w:val="28"/>
        </w:rPr>
        <w:t xml:space="preserve">О подключении учреждения к платформе Flamingo</w:t>
      </w:r>
    </w:p>
    <w:p>
      <w:pPr>
        <w:spacing w:after="160"/>
      </w:pPr>
      <w:r>
        <w:rPr>
          <w:color w:val="2A2520"/>
          <w:sz w:val="22"/>
          <w:szCs w:val="22"/>
        </w:rPr>
        <w:t xml:space="preserve">Уважаемая Мария Петровна!</w:t>
      </w:r>
    </w:p>
    <w:p>
      <w:pPr>
        <w:spacing w:after="160" w:line="320"/>
        <w:jc w:val="both"/>
      </w:pPr>
      <w:r>
        <w:rPr>
          <w:color w:val="2A2520"/>
          <w:sz w:val="22"/>
          <w:szCs w:val="22"/>
        </w:rPr>
        <w:t xml:space="preserve">Благодарим за интерес к образовательной платформе Flamingo. Подтверждаем готовность подключить ваше учреждение и предоставить доступ к кабинетам преподавателей, учеников и администратора, а также к модулю поддержки обучения SEduM.</w:t>
      </w:r>
    </w:p>
    <w:p>
      <w:pPr>
        <w:spacing w:after="160" w:line="320"/>
        <w:jc w:val="both"/>
      </w:pPr>
      <w:r>
        <w:rPr>
          <w:color w:val="2A2520"/>
          <w:sz w:val="22"/>
          <w:szCs w:val="22"/>
        </w:rPr>
        <w:t xml:space="preserve">Платформа работает в браузере и на мобильных устройствах. Персональные данные обучающихся хранятся на серверах в Российской Федерации в соответствии с Федеральным законом № 152-ФЗ; для учеников младше 18 лет регистрация выполняется с согласия родителей. Видеоданные модуля внимания обрабатываются на устройстве пользователя и на сервер не передаются.</w:t>
      </w:r>
    </w:p>
    <w:p>
      <w:pPr>
        <w:spacing w:after="100" w:before="260"/>
      </w:pPr>
      <w:r>
        <w:rPr>
          <w:rFonts w:ascii="IBM Plex Sans SemiBold" w:cs="IBM Plex Sans SemiBold" w:eastAsia="IBM Plex Sans SemiBold" w:hAnsi="IBM Plex Sans SemiBold"/>
          <w:color w:val="2A2520"/>
          <w:sz w:val="23"/>
          <w:szCs w:val="23"/>
        </w:rPr>
        <w:t xml:space="preserve">Порядок подключения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520"/>
          <w:sz w:val="22"/>
          <w:szCs w:val="22"/>
        </w:rPr>
        <w:t xml:space="preserve">Назначьте администратора учреждения и сообщите его контактные данные.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520"/>
          <w:sz w:val="22"/>
          <w:szCs w:val="22"/>
        </w:rPr>
        <w:t xml:space="preserve">Администратор получит код приглашения для преподавателей и учеников.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A2520"/>
          <w:sz w:val="22"/>
          <w:szCs w:val="22"/>
        </w:rPr>
        <w:t xml:space="preserve">Преподаватели создают курсы и занятия, ученики записываются и приступают к обучению.</w:t>
      </w:r>
    </w:p>
    <w:p>
      <w:pPr>
        <w:spacing w:after="100" w:before="260"/>
      </w:pPr>
      <w:r>
        <w:rPr>
          <w:rFonts w:ascii="IBM Plex Sans SemiBold" w:cs="IBM Plex Sans SemiBold" w:eastAsia="IBM Plex Sans SemiBold" w:hAnsi="IBM Plex Sans SemiBold"/>
          <w:color w:val="2A2520"/>
          <w:sz w:val="23"/>
          <w:szCs w:val="23"/>
        </w:rPr>
        <w:t xml:space="preserve">Этапы и сроки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055"/>
        <w:gridCol w:w="2000"/>
      </w:tblGrid>
      <w:tr>
        <w:trPr>
          <w:tblHeader/>
        </w:trPr>
        <w:tc>
          <w:tcPr>
            <w:tcW w:type="dxa" w:w="1300"/>
            <w:tcBorders>
              <w:top w:val="single" w:color="E0D8CA" w:sz="2"/>
              <w:left w:val="single" w:color="E0D8CA" w:sz="2"/>
              <w:bottom w:val="single" w:color="E0D8CA" w:sz="2"/>
              <w:right w:val="single" w:color="E0D8CA" w:sz="2"/>
            </w:tcBorders>
            <w:shd w:fill="FB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BM Plex Sans SemiBold" w:cs="IBM Plex Sans SemiBold" w:eastAsia="IBM Plex Sans SemiBold" w:hAnsi="IBM Plex Sans SemiBold"/>
                <w:color w:val="2A2520"/>
                <w:sz w:val="20"/>
                <w:szCs w:val="20"/>
              </w:rPr>
              <w:t xml:space="preserve">Этап</w:t>
            </w:r>
          </w:p>
        </w:tc>
        <w:tc>
          <w:tcPr>
            <w:tcW w:type="dxa" w:w="6055"/>
            <w:tcBorders>
              <w:top w:val="single" w:color="E0D8CA" w:sz="2"/>
              <w:left w:val="single" w:color="E0D8CA" w:sz="2"/>
              <w:bottom w:val="single" w:color="E0D8CA" w:sz="2"/>
              <w:right w:val="single" w:color="E0D8CA" w:sz="2"/>
            </w:tcBorders>
            <w:shd w:fill="FB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BM Plex Sans SemiBold" w:cs="IBM Plex Sans SemiBold" w:eastAsia="IBM Plex Sans SemiBold" w:hAnsi="IBM Plex Sans SemiBold"/>
                <w:color w:val="2A2520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000"/>
            <w:tcBorders>
              <w:top w:val="single" w:color="E0D8CA" w:sz="2"/>
              <w:left w:val="single" w:color="E0D8CA" w:sz="2"/>
              <w:bottom w:val="single" w:color="E0D8CA" w:sz="2"/>
              <w:right w:val="single" w:color="E0D8CA" w:sz="2"/>
            </w:tcBorders>
            <w:shd w:fill="FB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BM Plex Sans SemiBold" w:cs="IBM Plex Sans SemiBold" w:eastAsia="IBM Plex Sans SemiBold" w:hAnsi="IBM Plex Sans SemiBold"/>
                <w:color w:val="2A2520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1300"/>
            <w:tcBorders>
              <w:top w:val="single" w:color="E0D8CA" w:sz="2"/>
              <w:left w:val="single" w:color="E0D8CA" w:sz="2"/>
              <w:bottom w:val="single" w:color="E0D8CA" w:sz="2"/>
              <w:right w:val="single" w:color="E0D8CA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A2520"/>
                <w:sz w:val="20"/>
                <w:szCs w:val="20"/>
              </w:rPr>
              <w:t xml:space="preserve">1</w:t>
            </w:r>
          </w:p>
        </w:tc>
        <w:tc>
          <w:tcPr>
            <w:tcW w:type="dxa" w:w="6055"/>
            <w:tcBorders>
              <w:top w:val="single" w:color="E0D8CA" w:sz="2"/>
              <w:left w:val="single" w:color="E0D8CA" w:sz="2"/>
              <w:bottom w:val="single" w:color="E0D8CA" w:sz="2"/>
              <w:right w:val="single" w:color="E0D8CA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A2520"/>
                <w:sz w:val="20"/>
                <w:szCs w:val="20"/>
              </w:rPr>
              <w:t xml:space="preserve">Создание профиля учреждения и проверка данных</w:t>
            </w:r>
          </w:p>
        </w:tc>
        <w:tc>
          <w:tcPr>
            <w:tcW w:type="dxa" w:w="2000"/>
            <w:tcBorders>
              <w:top w:val="single" w:color="E0D8CA" w:sz="2"/>
              <w:left w:val="single" w:color="E0D8CA" w:sz="2"/>
              <w:bottom w:val="single" w:color="E0D8CA" w:sz="2"/>
              <w:right w:val="single" w:color="E0D8CA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A2520"/>
                <w:sz w:val="20"/>
                <w:szCs w:val="20"/>
              </w:rPr>
              <w:t xml:space="preserve">1–2 рабочих дня</w:t>
            </w:r>
          </w:p>
        </w:tc>
      </w:tr>
      <w:tr>
        <w:tc>
          <w:tcPr>
            <w:tcW w:type="dxa" w:w="1300"/>
            <w:tcBorders>
              <w:top w:val="single" w:color="E0D8CA" w:sz="2"/>
              <w:left w:val="single" w:color="E0D8CA" w:sz="2"/>
              <w:bottom w:val="single" w:color="E0D8CA" w:sz="2"/>
              <w:right w:val="single" w:color="E0D8CA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A2520"/>
                <w:sz w:val="20"/>
                <w:szCs w:val="20"/>
              </w:rPr>
              <w:t xml:space="preserve">2</w:t>
            </w:r>
          </w:p>
        </w:tc>
        <w:tc>
          <w:tcPr>
            <w:tcW w:type="dxa" w:w="6055"/>
            <w:tcBorders>
              <w:top w:val="single" w:color="E0D8CA" w:sz="2"/>
              <w:left w:val="single" w:color="E0D8CA" w:sz="2"/>
              <w:bottom w:val="single" w:color="E0D8CA" w:sz="2"/>
              <w:right w:val="single" w:color="E0D8CA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A2520"/>
                <w:sz w:val="20"/>
                <w:szCs w:val="20"/>
              </w:rPr>
              <w:t xml:space="preserve">Приглашение преподавателей и формирование групп</w:t>
            </w:r>
          </w:p>
        </w:tc>
        <w:tc>
          <w:tcPr>
            <w:tcW w:type="dxa" w:w="2000"/>
            <w:tcBorders>
              <w:top w:val="single" w:color="E0D8CA" w:sz="2"/>
              <w:left w:val="single" w:color="E0D8CA" w:sz="2"/>
              <w:bottom w:val="single" w:color="E0D8CA" w:sz="2"/>
              <w:right w:val="single" w:color="E0D8CA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A2520"/>
                <w:sz w:val="20"/>
                <w:szCs w:val="20"/>
              </w:rPr>
              <w:t xml:space="preserve">3–5 рабочих дней</w:t>
            </w:r>
          </w:p>
        </w:tc>
      </w:tr>
      <w:tr>
        <w:tc>
          <w:tcPr>
            <w:tcW w:type="dxa" w:w="1300"/>
            <w:tcBorders>
              <w:top w:val="single" w:color="E0D8CA" w:sz="2"/>
              <w:left w:val="single" w:color="E0D8CA" w:sz="2"/>
              <w:bottom w:val="single" w:color="E0D8CA" w:sz="2"/>
              <w:right w:val="single" w:color="E0D8CA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A2520"/>
                <w:sz w:val="20"/>
                <w:szCs w:val="20"/>
              </w:rPr>
              <w:t xml:space="preserve">3</w:t>
            </w:r>
          </w:p>
        </w:tc>
        <w:tc>
          <w:tcPr>
            <w:tcW w:type="dxa" w:w="6055"/>
            <w:tcBorders>
              <w:top w:val="single" w:color="E0D8CA" w:sz="2"/>
              <w:left w:val="single" w:color="E0D8CA" w:sz="2"/>
              <w:bottom w:val="single" w:color="E0D8CA" w:sz="2"/>
              <w:right w:val="single" w:color="E0D8CA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A2520"/>
                <w:sz w:val="20"/>
                <w:szCs w:val="20"/>
              </w:rPr>
              <w:t xml:space="preserve">Первые занятия и настройка модуля внимания</w:t>
            </w:r>
          </w:p>
        </w:tc>
        <w:tc>
          <w:tcPr>
            <w:tcW w:type="dxa" w:w="2000"/>
            <w:tcBorders>
              <w:top w:val="single" w:color="E0D8CA" w:sz="2"/>
              <w:left w:val="single" w:color="E0D8CA" w:sz="2"/>
              <w:bottom w:val="single" w:color="E0D8CA" w:sz="2"/>
              <w:right w:val="single" w:color="E0D8CA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A2520"/>
                <w:sz w:val="20"/>
                <w:szCs w:val="20"/>
              </w:rPr>
              <w:t xml:space="preserve">1 неделя</w:t>
            </w:r>
          </w:p>
        </w:tc>
      </w:tr>
    </w:tbl>
    <w:p>
      <w:pPr>
        <w:spacing w:after="100" w:before="260"/>
      </w:pPr>
      <w:r>
        <w:rPr>
          <w:rFonts w:ascii="IBM Plex Sans SemiBold" w:cs="IBM Plex Sans SemiBold" w:eastAsia="IBM Plex Sans SemiBold" w:hAnsi="IBM Plex Sans SemiBold"/>
          <w:color w:val="2A2520"/>
          <w:sz w:val="23"/>
          <w:szCs w:val="23"/>
        </w:rPr>
        <w:t xml:space="preserve">Контакты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A2520"/>
          <w:sz w:val="22"/>
          <w:szCs w:val="22"/>
        </w:rPr>
        <w:t xml:space="preserve">Менеджер по подключению: Анна Кузнецова, hello@flamingo.example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A2520"/>
          <w:sz w:val="22"/>
          <w:szCs w:val="22"/>
        </w:rPr>
        <w:t xml:space="preserve">Техническая поддержка: support@flamingo.example, по будням с 9:00 до 18:00.</w:t>
      </w:r>
    </w:p>
    <w:p>
      <w:pPr>
        <w:spacing w:after="60" w:before="240"/>
      </w:pPr>
      <w:r>
        <w:rPr>
          <w:color w:val="2A2520"/>
          <w:sz w:val="22"/>
          <w:szCs w:val="22"/>
        </w:rPr>
        <w:t xml:space="preserve">С уважением,</w:t>
      </w:r>
    </w:p>
    <w:p>
      <w:pPr>
        <w:spacing w:before="360"/>
      </w:pPr>
      <w:r>
        <w:rPr>
          <w:color w:val="6E6456"/>
          <w:sz w:val="21"/>
          <w:szCs w:val="21"/>
        </w:rPr>
        <w:t xml:space="preserve">Руководитель платформы Flamingo</w:t>
      </w:r>
      <w:r>
        <w:rPr>
          <w:sz w:val="21"/>
          <w:szCs w:val="21"/>
        </w:rPr>
        <w:t xml:space="preserve">                                        </w:t>
      </w:r>
      <w:r>
        <w:rPr>
          <w:rFonts w:ascii="IBM Plex Sans SemiBold" w:cs="IBM Plex Sans SemiBold" w:eastAsia="IBM Plex Sans SemiBold" w:hAnsi="IBM Plex Sans SemiBold"/>
          <w:color w:val="2A2520"/>
          <w:sz w:val="21"/>
          <w:szCs w:val="21"/>
        </w:rPr>
        <w:t xml:space="preserve">А. И. Соколов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E4622" w:sz="8" w:space="6"/>
      </w:pBdr>
      <w:spacing w:after="20" w:before="100"/>
    </w:pPr>
    <w:r>
      <w:rPr>
        <w:color w:val="6E6456"/>
        <w:sz w:val="15"/>
        <w:szCs w:val="15"/>
      </w:rPr>
      <w:t xml:space="preserve">Образовательная платформа Flamingo · ООО «Фламинго» · ИНН 7700000000 · г. Москва · flamingo.example · hello@flamingo.example</w:t>
    </w:r>
  </w:p>
  <w:p>
    <w:pPr>
      <w:jc w:val="right"/>
    </w:pPr>
    <w:r>
      <w:rPr>
        <w:color w:val="8B7F69"/>
        <w:sz w:val="15"/>
        <w:szCs w:val="15"/>
      </w:rPr>
      <w:t xml:space="preserve">Страница </w:t>
    </w:r>
    <w:r>
      <w:rPr>
        <w:color w:val="8B7F6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B7F69"/>
        <w:sz w:val="15"/>
        <w:szCs w:val="15"/>
      </w:rPr>
      <w:t xml:space="preserve"> из </w:t>
    </w:r>
    <w:r>
      <w:rPr>
        <w:color w:val="8B7F6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E4622" w:sz="8" w:space="6"/>
      </w:pBdr>
      <w:spacing w:after="60"/>
    </w:pPr>
    <w:r>
      <w:drawing>
        <wp:inline distT="0" distB="0" distL="0" distR="0">
          <wp:extent cx="1981200" cy="4857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48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2A25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19c7cb543e0060a7725452f449361d737ee304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2026-06-13T18:11:28.238Z</dcterms:created>
  <dcterms:modified xsi:type="dcterms:W3CDTF">2026-06-13T18:11:28.238Z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