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Statement of Work: Atlas Rollout</w:t>
      </w:r>
    </w:p>
    <w:p>
      <w:pPr>
        <w:pStyle w:val="Heading1"/>
      </w:pPr>
      <w:r>
        <w:t>Parties</w:t>
      </w:r>
    </w:p>
    <w:tbl>
      <w:tblPr>
        <w:tblW w:type="auto" w:w="0"/>
        <w:tblLook w:firstColumn="1" w:firstRow="1" w:lastColumn="0" w:lastRow="0" w:noHBand="0" w:noVBand="1" w:val="04A0"/>
      </w:tblPr>
      <w:tblGrid>
        <w:gridCol w:w="2880"/>
        <w:gridCol w:w="2880"/>
        <w:gridCol w:w="2880"/>
      </w:tblGrid>
      <w:tr>
        <w:tc>
          <w:tcPr>
            <w:tcW w:type="dxa" w:w="2880"/>
          </w:tcPr>
          <w:p>
            <w:r>
              <w:t>Party</w:t>
            </w:r>
          </w:p>
        </w:tc>
        <w:tc>
          <w:tcPr>
            <w:tcW w:type="dxa" w:w="2880"/>
          </w:tcPr>
          <w:p>
            <w:r>
              <w:t>Role</w:t>
            </w:r>
          </w:p>
        </w:tc>
        <w:tc>
          <w:tcPr>
            <w:tcW w:type="dxa" w:w="2880"/>
          </w:tcPr>
          <w:p>
            <w:r>
              <w:t>Contact</w:t>
            </w:r>
          </w:p>
        </w:tc>
      </w:tr>
      <w:tr>
        <w:tc>
          <w:tcPr>
            <w:tcW w:type="dxa" w:w="2880"/>
          </w:tcPr>
          <w:p>
            <w:r>
              <w:t>Acme Corp</w:t>
            </w:r>
          </w:p>
        </w:tc>
        <w:tc>
          <w:tcPr>
            <w:tcW w:type="dxa" w:w="2880"/>
          </w:tcPr>
          <w:p>
            <w:r>
              <w:t>Customer</w:t>
            </w:r>
          </w:p>
        </w:tc>
        <w:tc>
          <w:tcPr>
            <w:tcW w:type="dxa" w:w="2880"/>
          </w:tcPr>
          <w:p>
            <w:r>
              <w:t>Sarah Chen</w:t>
            </w:r>
          </w:p>
        </w:tc>
      </w:tr>
      <w:tr>
        <w:tc>
          <w:tcPr>
            <w:tcW w:type="dxa" w:w="2880"/>
          </w:tcPr>
          <w:p>
            <w:r>
              <w:t>Northwind Inc.</w:t>
            </w:r>
          </w:p>
        </w:tc>
        <w:tc>
          <w:tcPr>
            <w:tcW w:type="dxa" w:w="2880"/>
          </w:tcPr>
          <w:p>
            <w:r>
              <w:t>Vendor</w:t>
            </w:r>
          </w:p>
        </w:tc>
        <w:tc>
          <w:tcPr>
            <w:tcW w:type="dxa" w:w="2880"/>
          </w:tcPr>
          <w:p>
            <w:r>
              <w:t>Mike Rodriguez</w:t>
            </w:r>
          </w:p>
        </w:tc>
      </w:tr>
    </w:tbl>
    <w:p>
      <w:pPr>
        <w:pStyle w:val="Heading1"/>
      </w:pPr>
      <w:r>
        <w:t>Scope</w:t>
      </w:r>
    </w:p>
    <w:p>
      <w:r>
        <w:t>Northwind Inc. will deploy the Atlas AI assistant for the Acme Corp Boston team. Mike Rodriguez owns the implementation plan. The pilot covers approx. 40 users in the U.S. and excludes the EU entities, e.g. Acme GmbH.</w:t>
      </w:r>
    </w:p>
    <w:p>
      <w:pPr>
        <w:pStyle w:val="Heading2"/>
      </w:pPr>
      <w:r>
        <w:t>Timeline</w:t>
      </w:r>
    </w:p>
    <w:p>
      <w:r>
        <w:t>The pilot starts on October 5, 2026 and must be live by November 30, 2026. The security review by Acme's IT team is a prerequisite for go-live.</w:t>
      </w:r>
    </w:p>
    <w:p>
      <w:pPr>
        <w:pStyle w:val="Heading1"/>
      </w:pPr>
      <w:r>
        <w:t>Commercials</w:t>
      </w:r>
    </w:p>
    <w:p>
      <w:r>
        <w:t>The contract value is USD 120,000 for the pilot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Atlas Rollout</dc:title>
  <dc:subject/>
  <dc:creator>Mike Rodriguez</dc:creator>
  <cp:keywords/>
  <dc:description>generated by python-docx</dc:description>
  <cp:lastModifiedBy/>
  <cp:revision>1</cp:revision>
  <dcterms:created xsi:type="dcterms:W3CDTF">2026-09-10T14:00:00Z</dcterms:created>
  <dcterms:modified xsi:type="dcterms:W3CDTF">2026-09-12T09:30:00Z</dcterms:modified>
  <cp:category/>
</cp:coreProperties>
</file>