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9864" w:type="dxa"/>
      </w:tblPr>
      <w:tblGrid>
        <w:gridCol w:w="2600"/>
        <w:gridCol w:w="7264"/>
      </w:tblGrid>
      <w:tr>
        <w:tc>
          <w:tcPr>
            <w:tcW w:type="dxa" w:w="4933"/>
            <w:shd w:val="clear" w:color="auto" w:fill="FFFFFF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spacing w:after="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25880" cy="5303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mens_energy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0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FFFFFF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spacing w:after="20"/>
              <w:jc w:val="right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003B4A"/>
              </w:rPr>
              <w:t>KAZ Power Plant Upgrade Project</w:t>
            </w:r>
          </w:p>
          <w:p>
            <w:pPr>
              <w:spacing w:after="20"/>
              <w:jc w:val="right"/>
            </w:pPr>
            <w:r>
              <w:rPr>
                <w:rFonts w:ascii="Calibri" w:hAnsi="Calibri" w:cs="Calibri"/>
                <w:b w:val="0"/>
                <w:i w:val="0"/>
                <w:sz w:val="17"/>
                <w:u w:val="none"/>
                <w:color w:val="222A2E"/>
              </w:rPr>
              <w:t>Khur Al-Zubair Power Station — Basra, Iraq</w:t>
            </w:r>
          </w:p>
          <w:p>
            <w:pPr>
              <w:spacing w:after="20"/>
              <w:jc w:val="right"/>
            </w:pPr>
            <w:r>
              <w:rPr>
                <w:rFonts w:ascii="Calibri" w:hAnsi="Calibri" w:cs="Calibri"/>
                <w:b w:val="0"/>
                <w:i w:val="0"/>
                <w:sz w:val="16"/>
                <w:u w:val="none"/>
                <w:color w:val="007E8C"/>
              </w:rPr>
              <w:t>KAZ-EHS-FRM-2026-006   •   Rev. 0   •   DRAFT FOR REVIEW (Pending Final Approval)</w:t>
            </w:r>
          </w:p>
        </w:tc>
      </w:tr>
    </w:tbl>
    <w:p>
      <w:pPr>
        <w:spacing w:after="40" w:before="0"/>
      </w:pPr>
    </w:p>
    <w:tbl>
      <w:tblPr>
        <w:tblLook w:firstColumn="1" w:firstRow="1" w:lastColumn="0" w:lastRow="0" w:noHBand="0" w:noVBand="1" w:val="04A0"/>
        <w:tblLayout w:type="fixed"/>
        <w:tblW w:w="9864" w:type="dxa"/>
      </w:tblPr>
      <w:tblGrid>
        <w:gridCol w:w="9864"/>
      </w:tblGrid>
      <w:tr>
        <w:tc>
          <w:tcPr>
            <w:tcW w:type="dxa" w:w="9864"/>
            <w:shd w:val="clear" w:color="auto" w:fill="003B4A"/>
            <w:tcMar>
              <w:top w:w="260" w:type="dxa"/>
              <w:start w:w="280" w:type="dxa"/>
              <w:bottom w:w="260" w:type="dxa"/>
              <w:end w:w="28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38"/>
                <w:u w:val="none"/>
                <w:color w:val="FFFFFF"/>
              </w:rPr>
              <w:t>CONTROLLED FORM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cs="Calibri"/>
                <w:b/>
                <w:i w:val="0"/>
                <w:sz w:val="26"/>
                <w:u w:val="none"/>
                <w:color w:val="00B5E2"/>
              </w:rPr>
              <w:t>SHIFT HANDOVER LOG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cs="Calibri"/>
                <w:b w:val="0"/>
                <w:i w:val="0"/>
                <w:sz w:val="22"/>
                <w:u w:val="none"/>
                <w:color w:val="FFFFFF"/>
              </w:rPr>
              <w:t>DAY ↔ NIGHT SHIFT HANDOVER — NIGHT CONCRETE POURING OPERATIONS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CFE7EB"/>
              </w:rPr>
              <w:t>Document ID: KAZ-EHS-FRM-2026-006   •   Revision: 0   •   Status: DRAFT FOR REVIEW (Pending Final Approval)</w:t>
            </w:r>
          </w:p>
        </w:tc>
      </w:tr>
    </w:tbl>
    <w:p>
      <w:pPr>
        <w:spacing w:after="60" w:before="0"/>
      </w:pPr>
    </w:p>
    <w:p>
      <w:pPr>
        <w:keepNext/>
        <w:spacing w:after="110" w:before="12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SECTION A: FORM IDENTIFICATION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2834"/>
        <w:gridCol w:w="7030"/>
      </w:tblGrid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Project / Location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  <w:t>KAZ Power Plant Upgrade Project — Khur Al-Zubair Power Station, Basra, Iraq</w:t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Companion documents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F7FBFB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  <w:t>KAZ-EHS-MS-2026-004 (Method Statement, Annex A) • KAZ-EHS-SOP-2026-003 (PTW System, §5A)</w:t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Pour location / area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Date of handover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F7FBFB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Handover type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  <w:t>☐ Day → Night      ☐ Night → Day</w:t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Shift window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F7FBFB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  <w:t>From ______ : ______   to   ______ : ______</w:t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PTW number(s) &amp; validity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Planned / placed concrete (m³)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F7FBFB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Weather at handover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  <w:t>Wind ______ km/h   ☐ Clear  ☐ Rain  ☐ Dust  ☐ Lightning</w:t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Outgoing shift in-charge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F7FBFB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283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  <w:shd w:val="clear" w:color="auto" w:fill="DCEFF1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20"/>
                <w:u w:val="none"/>
                <w:color w:val="222A2E"/>
              </w:rPr>
              <w:t>Incoming shift in-charge</w:t>
            </w:r>
          </w:p>
        </w:tc>
        <w:tc>
          <w:tcPr>
            <w:tcW w:type="dxa" w:w="703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20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SECTION B: HANDOVER CHECKLIST</w:t>
      </w:r>
    </w:p>
    <w:p>
      <w:pPr>
        <w:spacing w:after="100" w:before="0"/>
        <w:jc w:val="both"/>
      </w:pPr>
      <w:r>
        <w:rPr>
          <w:rFonts w:ascii="Calibri" w:hAnsi="Calibri" w:cs="Calibri"/>
          <w:b w:val="0"/>
          <w:i w:val="0"/>
          <w:sz w:val="20"/>
          <w:u w:val="none"/>
          <w:color w:val="222A2E"/>
        </w:rPr>
        <w:t>Both supervisors walk the area together before completing this form. Every line requires an outgoing entry and an incoming verification initial. Any unresolved line is carried to Section D as an open item.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400"/>
        <w:gridCol w:w="4300"/>
        <w:gridCol w:w="3300"/>
        <w:gridCol w:w="1864"/>
      </w:tblGrid>
      <w:tr>
        <w:trPr>
          <w:cantSplit/>
          <w:tblHeader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Handover Item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Outgoing Shift Entry</w:t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Incoming Verification (initials)</w:t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Works completed during the shift (locations, volumes, joints formed)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2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Works outstanding / to be continued by the incoming shift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3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Active live zones and energized equipment; restricted red zones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4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Open isolations / LOTO applied and remaining under Isolation Authority control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5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PTW status, endorsements, restrictions and expiry time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6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Barricading condition; any temporary removals and their reinstatement plan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7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Lighting condition; lux values recorded; light-tower positions; backup floodlights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8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Earthing / grounding connections and 30 mA RCD test status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9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Open excavations, pits, open edges and rebar-cap condition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10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Plant left on site, keys, defects and out-of-service equipment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11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Emergency egress route condition; standby ambulance and medic status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12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Incidents, near misses, unsafe acts/conditions and corrective actions raised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13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Environmental issues (washout, spills, waste) and MOTAT records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14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Instructions, restrictions or changes received from the Area Authority / client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15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Crew fatigue status: hours worked, breaks taken, anyone stood down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16</w:t>
            </w:r>
          </w:p>
        </w:tc>
        <w:tc>
          <w:tcPr>
            <w:tcW w:type="dxa" w:w="4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  <w:t>Any other hazard or information the incoming shift must know</w:t>
            </w:r>
          </w:p>
        </w:tc>
        <w:tc>
          <w:tcPr>
            <w:tcW w:type="dxa" w:w="33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SECTION C: LIVE ZONES, ENERGIZED EQUIPMENT &amp; ISOLATIONS REGISTER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380"/>
        <w:gridCol w:w="2400"/>
        <w:gridCol w:w="1500"/>
        <w:gridCol w:w="1800"/>
        <w:gridCol w:w="1800"/>
        <w:gridCol w:w="1984"/>
      </w:tblGrid>
      <w:tr>
        <w:trPr>
          <w:cantSplit/>
          <w:tblHeader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#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Zone / Equipment</w:t>
            </w:r>
          </w:p>
        </w:tc>
        <w:tc>
          <w:tcPr>
            <w:tcW w:type="dxa" w:w="15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Voltage / Status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Isolation / LOTO Ref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Controlled By</w:t>
            </w:r>
          </w:p>
        </w:tc>
        <w:tc>
          <w:tcPr>
            <w:tcW w:type="dxa" w:w="19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Remarks</w:t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5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8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5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5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8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5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5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8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5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9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SECTION D: OPEN ITEMS &amp; CORRECTIVE ACTIONS CARRIED OVER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380"/>
        <w:gridCol w:w="3200"/>
        <w:gridCol w:w="1400"/>
        <w:gridCol w:w="900"/>
        <w:gridCol w:w="1400"/>
        <w:gridCol w:w="1200"/>
        <w:gridCol w:w="1384"/>
      </w:tblGrid>
      <w:tr>
        <w:trPr>
          <w:cantSplit/>
          <w:tblHeader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#</w:t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Open Item</w:t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Raised By</w:t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Priority</w:t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Owner</w:t>
            </w:r>
          </w:p>
        </w:tc>
        <w:tc>
          <w:tcPr>
            <w:tcW w:type="dxa" w:w="1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Due</w:t>
            </w:r>
          </w:p>
        </w:tc>
        <w:tc>
          <w:tcPr>
            <w:tcW w:type="dxa" w:w="13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7"/>
                <w:u w:val="none"/>
                <w:color w:val="FFFFFF"/>
              </w:rPr>
              <w:t>Status</w:t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3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3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3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3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3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3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9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13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SECTION E: INCIDENTS / NEAR MISSES THIS SHIFT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380"/>
        <w:gridCol w:w="4200"/>
        <w:gridCol w:w="2400"/>
        <w:gridCol w:w="2884"/>
      </w:tblGrid>
      <w:tr>
        <w:trPr>
          <w:cantSplit/>
          <w:tblHeader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#</w:t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Description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Report Ref (000480 / incident)</w:t>
            </w:r>
          </w:p>
        </w:tc>
        <w:tc>
          <w:tcPr>
            <w:tcW w:type="dxa" w:w="28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  <w:u w:val="none"/>
                <w:color w:val="FFFFFF"/>
              </w:rPr>
              <w:t>Immediate Action Taken</w:t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88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8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88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8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42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  <w:tc>
          <w:tcPr>
            <w:tcW w:type="dxa" w:w="288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70" w:before="160"/>
      </w:pPr>
      <w:r>
        <w:rPr>
          <w:rFonts w:ascii="Calibri" w:hAnsi="Calibri" w:cs="Calibri"/>
          <w:b/>
          <w:i w:val="0"/>
          <w:sz w:val="22"/>
          <w:u w:val="none"/>
          <w:color w:val="007E8C"/>
        </w:rPr>
        <w:t>SECTION F: HANDOVER SIGNATURES</w:t>
      </w:r>
    </w:p>
    <w:tbl>
      <w:tblPr>
        <w:tblLook w:firstColumn="1" w:firstRow="1" w:lastColumn="0" w:lastRow="0" w:noHBand="0" w:noVBand="1" w:val="04A0"/>
        <w:tblLayout w:type="fixed"/>
        <w:tblBorders>
          <w:top w:val="single" w:sz="4" w:space="0" w:color="B7CCCF"/>
          <w:left w:val="single" w:sz="4" w:space="0" w:color="B7CCCF"/>
          <w:bottom w:val="single" w:sz="4" w:space="0" w:color="B7CCCF"/>
          <w:right w:val="single" w:sz="4" w:space="0" w:color="B7CCCF"/>
          <w:insideH w:val="single" w:sz="4" w:space="0" w:color="B7CCCF"/>
          <w:insideV w:val="single" w:sz="4" w:space="0" w:color="B7CCCF"/>
        </w:tblBorders>
        <w:tblW w:w="9864" w:type="dxa"/>
      </w:tblPr>
      <w:tblGrid>
        <w:gridCol w:w="3600"/>
        <w:gridCol w:w="2400"/>
        <w:gridCol w:w="2400"/>
        <w:gridCol w:w="1464"/>
      </w:tblGrid>
      <w:tr>
        <w:trPr>
          <w:cantSplit/>
          <w:tblHeader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FFFFFF"/>
              </w:rPr>
              <w:t>Role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FFFFFF"/>
              </w:rPr>
              <w:t>Name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FFFFFF"/>
              </w:rPr>
              <w:t>Signature</w:t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007E8C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FFFFFF"/>
              </w:rPr>
              <w:t>Date / Time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Outgoing EHS Supervisor / Officer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Incoming Night EHS Officer / Day EHS Officer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Outgoing Engineering / Civil Supervisor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Incoming Night Shift In-Charge / Day Supervisor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Permit Issuer (noted)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Site Manager (where a Stop-Work or abort occurred)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shd w:val="clear" w:color="auto" w:fill="F7FBFB"/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/>
                <w:i w:val="0"/>
                <w:sz w:val="19"/>
                <w:u w:val="none"/>
                <w:color w:val="222A2E"/>
              </w:rPr>
              <w:t>Concrete Pouring Subcontractor Representative</w:t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2400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  <w:tc>
          <w:tcPr>
            <w:tcW w:type="dxa" w:w="1464"/>
            <w:tcMar>
              <w:top w:w="70" w:type="dxa"/>
              <w:start w:w="110" w:type="dxa"/>
              <w:bottom w:w="70" w:type="dxa"/>
              <w:end w:w="110" w:type="dxa"/>
            </w:tcMar>
            <w:vAlign w:val="top"/>
          </w:tcPr>
          <w:p>
            <w:pPr>
              <w:spacing w:after="20" w:before="0"/>
            </w:pPr>
            <w:r/>
            <w:r>
              <w:rPr>
                <w:rFonts w:ascii="Calibri" w:hAnsi="Calibri" w:cs="Calibri"/>
                <w:b w:val="0"/>
                <w:i w:val="0"/>
                <w:sz w:val="19"/>
                <w:u w:val="none"/>
                <w:color w:val="222A2E"/>
              </w:rPr>
            </w:r>
          </w:p>
        </w:tc>
      </w:tr>
    </w:tbl>
    <w:p>
      <w:pPr>
        <w:spacing w:after="80" w:before="0"/>
      </w:pPr>
    </w:p>
    <w:p>
      <w:pPr>
        <w:keepNext/>
        <w:spacing w:after="110" w:before="260"/>
        <w:pBdr>
          <w:bottom w:val="single" w:sz="12" w:space="3" w:color="007E8C"/>
        </w:pBdr>
      </w:pPr>
      <w:r>
        <w:rPr>
          <w:rFonts w:ascii="Calibri" w:hAnsi="Calibri" w:cs="Calibri"/>
          <w:b/>
          <w:i w:val="0"/>
          <w:sz w:val="25"/>
          <w:u w:val="none"/>
          <w:color w:val="003B4A"/>
        </w:rPr>
        <w:t>SECTION G: INSTRUCTIONS FOR COMPLETION</w:t>
      </w:r>
    </w:p>
    <w:p>
      <w:pPr>
        <w:spacing w:after="50" w:before="0"/>
        <w:ind w:left="240" w:hanging="240"/>
        <w:jc w:val="both"/>
      </w:pPr>
      <w:r>
        <w:rPr>
          <w:rFonts w:ascii="Calibri" w:hAnsi="Calibri" w:cs="Calibri"/>
          <w:b/>
          <w:i w:val="0"/>
          <w:sz w:val="20"/>
          <w:u w:val="none"/>
          <w:color w:val="007E8C"/>
        </w:rPr>
        <w:t xml:space="preserve">▪  </w:t>
      </w:r>
      <w:r>
        <w:rPr>
          <w:rFonts w:ascii="Calibri" w:hAnsi="Calibri" w:cs="Calibri"/>
          <w:b w:val="0"/>
          <w:i w:val="0"/>
          <w:sz w:val="20"/>
          <w:u w:val="none"/>
          <w:color w:val="222A2E"/>
        </w:rPr>
        <w:t>One form per shift change. The form travels with the Permit to Work.</w:t>
      </w:r>
    </w:p>
    <w:p>
      <w:pPr>
        <w:spacing w:after="50" w:before="0"/>
        <w:ind w:left="240" w:hanging="240"/>
        <w:jc w:val="both"/>
      </w:pPr>
      <w:r>
        <w:rPr>
          <w:rFonts w:ascii="Calibri" w:hAnsi="Calibri" w:cs="Calibri"/>
          <w:b/>
          <w:i w:val="0"/>
          <w:sz w:val="20"/>
          <w:u w:val="none"/>
          <w:color w:val="007E8C"/>
        </w:rPr>
        <w:t xml:space="preserve">▪  </w:t>
      </w:r>
      <w:r>
        <w:rPr>
          <w:rFonts w:ascii="Calibri" w:hAnsi="Calibri" w:cs="Calibri"/>
          <w:b w:val="0"/>
          <w:i w:val="0"/>
          <w:sz w:val="20"/>
          <w:u w:val="none"/>
          <w:color w:val="222A2E"/>
        </w:rPr>
        <w:t>Complete physically on site, at the work face, with lighting on for a night handover — never from the site office.</w:t>
      </w:r>
    </w:p>
    <w:p>
      <w:pPr>
        <w:spacing w:after="50" w:before="0"/>
        <w:ind w:left="240" w:hanging="240"/>
        <w:jc w:val="both"/>
      </w:pPr>
      <w:r>
        <w:rPr>
          <w:rFonts w:ascii="Calibri" w:hAnsi="Calibri" w:cs="Calibri"/>
          <w:b/>
          <w:i w:val="0"/>
          <w:sz w:val="20"/>
          <w:u w:val="none"/>
          <w:color w:val="007E8C"/>
        </w:rPr>
        <w:t xml:space="preserve">▪  </w:t>
      </w:r>
      <w:r>
        <w:rPr>
          <w:rFonts w:ascii="Calibri" w:hAnsi="Calibri" w:cs="Calibri"/>
          <w:b w:val="0"/>
          <w:i w:val="0"/>
          <w:sz w:val="20"/>
          <w:u w:val="none"/>
          <w:color w:val="222A2E"/>
        </w:rPr>
        <w:t>The incoming supervisor may refuse to accept the shift and escalate to the Site Manager if any Section B line is unsafe or incomplete.</w:t>
      </w:r>
    </w:p>
    <w:p>
      <w:pPr>
        <w:spacing w:after="50" w:before="0"/>
        <w:ind w:left="240" w:hanging="240"/>
        <w:jc w:val="both"/>
      </w:pPr>
      <w:r>
        <w:rPr>
          <w:rFonts w:ascii="Calibri" w:hAnsi="Calibri" w:cs="Calibri"/>
          <w:b/>
          <w:i w:val="0"/>
          <w:sz w:val="20"/>
          <w:u w:val="none"/>
          <w:color w:val="007E8C"/>
        </w:rPr>
        <w:t xml:space="preserve">▪  </w:t>
      </w:r>
      <w:r>
        <w:rPr>
          <w:rFonts w:ascii="Calibri" w:hAnsi="Calibri" w:cs="Calibri"/>
          <w:b w:val="0"/>
          <w:i w:val="0"/>
          <w:sz w:val="20"/>
          <w:u w:val="none"/>
          <w:color w:val="222A2E"/>
        </w:rPr>
        <w:t>Retain the signed form with the PTW and the Daily EHS Report for the project retention period.</w:t>
      </w:r>
    </w:p>
    <w:p>
      <w:pPr>
        <w:spacing w:after="50" w:before="0"/>
        <w:ind w:left="240" w:hanging="240"/>
        <w:jc w:val="both"/>
      </w:pPr>
      <w:r>
        <w:rPr>
          <w:rFonts w:ascii="Calibri" w:hAnsi="Calibri" w:cs="Calibri"/>
          <w:b/>
          <w:i w:val="0"/>
          <w:sz w:val="20"/>
          <w:u w:val="none"/>
          <w:color w:val="007E8C"/>
        </w:rPr>
        <w:t xml:space="preserve">▪  </w:t>
      </w:r>
      <w:r>
        <w:rPr>
          <w:rFonts w:ascii="Calibri" w:hAnsi="Calibri" w:cs="Calibri"/>
          <w:b w:val="0"/>
          <w:i w:val="0"/>
          <w:sz w:val="20"/>
          <w:u w:val="none"/>
          <w:color w:val="222A2E"/>
        </w:rPr>
        <w:t>A copy of every completed handover is filed against KAZ-EHS-MS-2026-004 Annex A.</w:t>
      </w:r>
    </w:p>
    <w:sectPr>
      <w:headerReference w:type="default" r:id="rId11"/>
      <w:footerReference w:type="default" r:id="rId12"/>
      <w:pgSz w:w="11906" w:h="16838"/>
      <w:pgMar w:left="1020" w:right="1020" w:top="964" w:bottom="964" w:header="500" w:footer="5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  <w:pBdr>
        <w:top w:val="single" w:sz="4" w:space="3" w:color="B7CCCF"/>
      </w:pBdr>
    </w:pPr>
    <w:r/>
    <w:r>
      <w:rPr>
        <w:rFonts w:ascii="Calibri" w:hAnsi="Calibri" w:cs="Calibri"/>
        <w:b w:val="0"/>
        <w:i w:val="0"/>
        <w:sz w:val="16"/>
        <w:u w:val="none"/>
        <w:color w:val="003B4A"/>
      </w:rPr>
      <w:t xml:space="preserve">KAZ-EHS-FRM-2026-006  •  Rev. 0  •  Siemens Energy – KAZ Power Plant Upgrade  •  Page </w:t>
    </w:r>
    <w:r>
      <w:rPr>
        <w:rFonts w:ascii="Calibri" w:hAnsi="Calibri"/>
        <w:b/>
        <w:sz w:val="16"/>
        <w:color w:val="007E8C"/>
      </w:rPr>
      <w:fldChar w:fldCharType="begin"/>
    </w:r>
    <w:r>
      <w:rPr>
        <w:rFonts w:ascii="Calibri" w:hAnsi="Calibri"/>
        <w:b/>
        <w:sz w:val="16"/>
        <w:color w:val="007E8C"/>
      </w:rPr>
      <w:instrText xml:space="preserve"> PAGE </w:instrText>
    </w:r>
    <w:r>
      <w:rPr>
        <w:rFonts w:ascii="Calibri" w:hAnsi="Calibri"/>
        <w:b/>
        <w:sz w:val="16"/>
        <w:color w:val="007E8C"/>
      </w:rPr>
      <w:fldChar w:fldCharType="separate"/>
    </w:r>
    <w:r>
      <w:rPr>
        <w:rFonts w:ascii="Calibri" w:hAnsi="Calibri"/>
        <w:b/>
        <w:sz w:val="16"/>
        <w:color w:val="007E8C"/>
      </w:rPr>
      <w:t>1</w:t>
    </w:r>
    <w:r>
      <w:rPr>
        <w:rFonts w:ascii="Calibri" w:hAnsi="Calibri"/>
        <w:b/>
        <w:sz w:val="16"/>
        <w:color w:val="007E8C"/>
      </w:rPr>
      <w:fldChar w:fldCharType="end"/>
    </w:r>
    <w:r>
      <w:rPr>
        <w:rFonts w:ascii="Calibri" w:hAnsi="Calibri" w:cs="Calibri"/>
        <w:b w:val="0"/>
        <w:i w:val="0"/>
        <w:sz w:val="16"/>
        <w:u w:val="none"/>
        <w:color w:val="003B4A"/>
      </w:rPr>
      <w:t xml:space="preserve"> of </w:t>
    </w:r>
    <w:r>
      <w:rPr>
        <w:rFonts w:ascii="Calibri" w:hAnsi="Calibri"/>
        <w:b/>
        <w:sz w:val="16"/>
        <w:color w:val="007E8C"/>
      </w:rPr>
      <w:fldChar w:fldCharType="begin"/>
    </w:r>
    <w:r>
      <w:rPr>
        <w:rFonts w:ascii="Calibri" w:hAnsi="Calibri"/>
        <w:b/>
        <w:sz w:val="16"/>
        <w:color w:val="007E8C"/>
      </w:rPr>
      <w:instrText xml:space="preserve"> NUMPAGES </w:instrText>
    </w:r>
    <w:r>
      <w:rPr>
        <w:rFonts w:ascii="Calibri" w:hAnsi="Calibri"/>
        <w:b/>
        <w:sz w:val="16"/>
        <w:color w:val="007E8C"/>
      </w:rPr>
      <w:fldChar w:fldCharType="separate"/>
    </w:r>
    <w:r>
      <w:rPr>
        <w:rFonts w:ascii="Calibri" w:hAnsi="Calibri"/>
        <w:b/>
        <w:sz w:val="16"/>
        <w:color w:val="007E8C"/>
      </w:rPr>
      <w:t>1</w:t>
    </w:r>
    <w:r>
      <w:rPr>
        <w:rFonts w:ascii="Calibri" w:hAnsi="Calibri"/>
        <w:b/>
        <w:sz w:val="16"/>
        <w:color w:val="007E8C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4" w:val="right"/>
      </w:tabs>
      <w:spacing w:before="0" w:after="60"/>
      <w:pBdr>
        <w:bottom w:val="single" w:sz="4" w:space="3" w:color="B7CCCF"/>
      </w:pBdr>
    </w:pPr>
    <w:r/>
    <w:r>
      <w:drawing>
        <wp:inline xmlns:a="http://schemas.openxmlformats.org/drawingml/2006/main" xmlns:pic="http://schemas.openxmlformats.org/drawingml/2006/picture">
          <wp:extent cx="566928" cy="2267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emens_energ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226771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cs="Calibri"/>
        <w:b/>
        <w:i w:val="0"/>
        <w:sz w:val="16"/>
        <w:u w:val="none"/>
        <w:color w:val="007E8C"/>
      </w:rPr>
      <w:t xml:space="preserve">   KAZ Power Plant Upgrade Project – Method Statement</w:t>
    </w:r>
    <w:r>
      <w:rPr>
        <w:rFonts w:ascii="Calibri" w:hAnsi="Calibri" w:cs="Calibri"/>
        <w:b w:val="0"/>
        <w:i w:val="0"/>
        <w:sz w:val="16"/>
        <w:u w:val="none"/>
        <w:color w:val="222A2E"/>
      </w:rPr>
      <w:tab/>
      <w:t>KAZ-EHS-FRM-2026-006  • 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color w:val="22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Company>Siemens Energy</Company>
  <Manager>Ahmed Mansoor (EHS Manager)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Shift Handover Log - Day / Night (Night Concrete Pouring)</dc:title>
  <dc:subject>KAZ Power Plant Upgrade Project - Basra, Iraq</dc:subject>
  <dc:creator>Ahmed Mansoor (EHS Manager) - Siemens Energy</dc:creator>
  <cp:keywords>EHS; Shift Handover; Night Work; Concrete Pouring; KAZ-EHS-FRM-2026-006</cp:keywords>
  <cp:lastModifiedBy>Ahmed Mansoor</cp:lastModifiedBy>
  <cp:category>EHS Document</cp:category>
</cp:coreProperties>
</file>