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Layout w:type="fixed"/>
      </w:tblPr>
      <w:tblGrid>
        <w:gridCol w:w="9864"/>
      </w:tblGrid>
      <w:tr>
        <w:tc>
          <w:tcPr>
            <w:tcW w:type="dxa" w:w="9865"/>
            <w:shd w:val="clear" w:color="auto" w:fill="003B4A"/>
            <w:tcMar>
              <w:top w:w="260" w:type="dxa"/>
              <w:bottom w:w="260" w:type="dxa"/>
              <w:start w:w="280" w:type="dxa"/>
              <w:end w:w="280" w:type="dxa"/>
            </w:tcMar>
          </w:tcPr>
          <w:p>
            <w:pPr>
              <w:spacing w:after="40"/>
              <w:jc w:val="center"/>
            </w:pPr>
            <w:r>
              <w:rPr>
                <w:rFonts w:ascii="Calibri" w:hAnsi="Calibri"/>
                <w:b/>
                <w:color w:val="FFFFFF"/>
                <w:sz w:val="38"/>
              </w:rPr>
              <w:t>PERMIT TO WORK (PTW) SYSTEM</w:t>
            </w:r>
          </w:p>
          <w:p>
            <w:pPr>
              <w:spacing w:after="160"/>
              <w:jc w:val="center"/>
            </w:pPr>
            <w:r>
              <w:rPr>
                <w:rFonts w:ascii="Calibri" w:hAnsi="Calibri"/>
                <w:b/>
                <w:color w:val="00B5E2"/>
                <w:sz w:val="24"/>
              </w:rPr>
              <w:t>STANDARD OPERATING PROCEDURE</w:t>
            </w:r>
          </w:p>
          <w:p>
            <w:pPr>
              <w:spacing w:after="80"/>
              <w:jc w:val="center"/>
            </w:pPr>
            <w:r>
              <w:rPr>
                <w:rFonts w:ascii="Calibri" w:hAnsi="Calibri"/>
                <w:color w:val="FFFFFF"/>
                <w:sz w:val="22"/>
              </w:rPr>
              <w:t>KAZ Power Plant Upgrade Project — Basra, Iraq</w:t>
            </w:r>
          </w:p>
          <w:p>
            <w:pPr>
              <w:jc w:val="center"/>
            </w:pPr>
            <w:r>
              <w:rPr>
                <w:rFonts w:ascii="Calibri" w:hAnsi="Calibri"/>
                <w:color w:val="CFE7EB"/>
                <w:sz w:val="18"/>
              </w:rPr>
              <w:t>Document ID: KAZ-EHS-SOP-2026-003   •   Revision: 1   •   Status: FOR REVIEW (Draft – Pending Final Approval)</w:t>
            </w:r>
          </w:p>
        </w:tc>
      </w:tr>
    </w:tbl>
    <w:p>
      <w:pPr>
        <w:spacing w:after="40"/>
      </w:pPr>
    </w:p>
    <w:p>
      <w:pPr>
        <w:keepNext/>
        <w:spacing w:before="280" w:after="120"/>
        <w:pBdr>
          <w:bottom w:val="single" w:sz="12" w:space="3" w:color="007E8C"/>
        </w:pBdr>
      </w:pPr>
      <w:r>
        <w:rPr>
          <w:rFonts w:ascii="Calibri" w:hAnsi="Calibri"/>
          <w:b/>
          <w:color w:val="003B4A"/>
          <w:sz w:val="25"/>
        </w:rPr>
        <w:t>SECTION 0: DOCUMENT CONTROL</w:t>
      </w:r>
    </w:p>
    <w:tbl>
      <w:tblPr>
        <w:tblW w:type="auto" w:w="0"/>
        <w:tblLayout w:type="fixed"/>
        <w:tblLook w:firstColumn="1" w:firstRow="1" w:lastColumn="0" w:lastRow="0" w:noHBand="0" w:noVBand="1" w:val="04A0"/>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Layout w:type="fixed"/>
      </w:tblPr>
      <w:tblGrid>
        <w:gridCol w:w="2834"/>
        <w:gridCol w:w="7029"/>
      </w:tblGrid>
      <w:tr>
        <w:tc>
          <w:tcPr>
            <w:tcW w:type="dxa" w:w="2835"/>
            <w:shd w:val="clear" w:color="auto" w:fill="DCEFF1"/>
            <w:tcMar>
              <w:top w:w="60" w:type="dxa"/>
              <w:bottom w:w="60" w:type="dxa"/>
              <w:start w:w="110" w:type="dxa"/>
              <w:end w:w="110" w:type="dxa"/>
            </w:tcMar>
          </w:tcPr>
          <w:p>
            <w:pPr>
              <w:spacing w:after="40" w:before="20"/>
            </w:pPr>
            <w:r>
              <w:rPr>
                <w:rFonts w:ascii="Calibri" w:hAnsi="Calibri"/>
                <w:b/>
                <w:i w:val="0"/>
                <w:color w:val="003B4A"/>
                <w:sz w:val="20"/>
              </w:rPr>
              <w:t>Project Title &amp; Location</w:t>
            </w:r>
          </w:p>
        </w:tc>
        <w:tc>
          <w:tcPr>
            <w:tcW w:type="dxa" w:w="7030"/>
            <w:tcMar>
              <w:top w:w="60" w:type="dxa"/>
              <w:bottom w:w="60" w:type="dxa"/>
              <w:start w:w="110" w:type="dxa"/>
              <w:end w:w="110" w:type="dxa"/>
            </w:tcMar>
          </w:tcPr>
          <w:p>
            <w:pPr>
              <w:spacing w:after="40" w:before="20"/>
            </w:pPr>
            <w:r>
              <w:rPr>
                <w:rFonts w:ascii="Calibri" w:hAnsi="Calibri"/>
                <w:b w:val="0"/>
                <w:i w:val="0"/>
                <w:color w:val="222A2E"/>
                <w:sz w:val="20"/>
              </w:rPr>
              <w:t>KAZ Power Plant Upgrade Project (Basra, Iraq)</w:t>
            </w:r>
          </w:p>
        </w:tc>
      </w:tr>
      <w:tr>
        <w:tc>
          <w:tcPr>
            <w:tcW w:type="dxa" w:w="2835"/>
            <w:shd w:val="clear" w:color="auto" w:fill="DCEFF1"/>
            <w:tcMar>
              <w:top w:w="60" w:type="dxa"/>
              <w:bottom w:w="60" w:type="dxa"/>
              <w:start w:w="110" w:type="dxa"/>
              <w:end w:w="110" w:type="dxa"/>
            </w:tcMar>
          </w:tcPr>
          <w:p>
            <w:pPr>
              <w:spacing w:after="40" w:before="20"/>
            </w:pPr>
            <w:r>
              <w:rPr>
                <w:rFonts w:ascii="Calibri" w:hAnsi="Calibri"/>
                <w:b/>
                <w:i w:val="0"/>
                <w:color w:val="003B4A"/>
                <w:sz w:val="20"/>
              </w:rPr>
              <w:t>Client / Beneficiary</w:t>
            </w:r>
          </w:p>
        </w:tc>
        <w:tc>
          <w:tcPr>
            <w:tcW w:type="dxa" w:w="703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Ministry of Electricity (MOE) &amp; Basrah Gas Company (BGC)</w:t>
            </w:r>
          </w:p>
        </w:tc>
      </w:tr>
      <w:tr>
        <w:tc>
          <w:tcPr>
            <w:tcW w:type="dxa" w:w="2835"/>
            <w:shd w:val="clear" w:color="auto" w:fill="DCEFF1"/>
            <w:tcMar>
              <w:top w:w="60" w:type="dxa"/>
              <w:bottom w:w="60" w:type="dxa"/>
              <w:start w:w="110" w:type="dxa"/>
              <w:end w:w="110" w:type="dxa"/>
            </w:tcMar>
          </w:tcPr>
          <w:p>
            <w:pPr>
              <w:spacing w:after="40" w:before="20"/>
            </w:pPr>
            <w:r>
              <w:rPr>
                <w:rFonts w:ascii="Calibri" w:hAnsi="Calibri"/>
                <w:b/>
                <w:i w:val="0"/>
                <w:color w:val="003B4A"/>
                <w:sz w:val="20"/>
              </w:rPr>
              <w:t>Principal Contractor</w:t>
            </w:r>
          </w:p>
        </w:tc>
        <w:tc>
          <w:tcPr>
            <w:tcW w:type="dxa" w:w="7030"/>
            <w:tcMar>
              <w:top w:w="60" w:type="dxa"/>
              <w:bottom w:w="60" w:type="dxa"/>
              <w:start w:w="110" w:type="dxa"/>
              <w:end w:w="110" w:type="dxa"/>
            </w:tcMar>
          </w:tcPr>
          <w:p>
            <w:pPr>
              <w:spacing w:after="40" w:before="20"/>
            </w:pPr>
            <w:r>
              <w:rPr>
                <w:rFonts w:ascii="Calibri" w:hAnsi="Calibri"/>
                <w:b w:val="0"/>
                <w:i w:val="0"/>
                <w:color w:val="222A2E"/>
                <w:sz w:val="20"/>
              </w:rPr>
              <w:t>Siemens Energy</w:t>
            </w:r>
          </w:p>
        </w:tc>
      </w:tr>
      <w:tr>
        <w:tc>
          <w:tcPr>
            <w:tcW w:type="dxa" w:w="2835"/>
            <w:shd w:val="clear" w:color="auto" w:fill="DCEFF1"/>
            <w:tcMar>
              <w:top w:w="60" w:type="dxa"/>
              <w:bottom w:w="60" w:type="dxa"/>
              <w:start w:w="110" w:type="dxa"/>
              <w:end w:w="110" w:type="dxa"/>
            </w:tcMar>
          </w:tcPr>
          <w:p>
            <w:pPr>
              <w:spacing w:after="40" w:before="20"/>
            </w:pPr>
            <w:r>
              <w:rPr>
                <w:rFonts w:ascii="Calibri" w:hAnsi="Calibri"/>
                <w:b/>
                <w:i w:val="0"/>
                <w:color w:val="003B4A"/>
                <w:sz w:val="20"/>
              </w:rPr>
              <w:t>Document Author</w:t>
            </w:r>
          </w:p>
        </w:tc>
        <w:tc>
          <w:tcPr>
            <w:tcW w:type="dxa" w:w="703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Ahmed Mansoor Hashim Kazem (EHS Manager)</w:t>
            </w:r>
          </w:p>
        </w:tc>
      </w:tr>
      <w:tr>
        <w:tc>
          <w:tcPr>
            <w:tcW w:type="dxa" w:w="2835"/>
            <w:shd w:val="clear" w:color="auto" w:fill="DCEFF1"/>
            <w:tcMar>
              <w:top w:w="60" w:type="dxa"/>
              <w:bottom w:w="60" w:type="dxa"/>
              <w:start w:w="110" w:type="dxa"/>
              <w:end w:w="110" w:type="dxa"/>
            </w:tcMar>
          </w:tcPr>
          <w:p>
            <w:pPr>
              <w:spacing w:after="40" w:before="20"/>
            </w:pPr>
            <w:r>
              <w:rPr>
                <w:rFonts w:ascii="Calibri" w:hAnsi="Calibri"/>
                <w:b/>
                <w:i w:val="0"/>
                <w:color w:val="003B4A"/>
                <w:sz w:val="20"/>
              </w:rPr>
              <w:t>PTW System Control / Authority</w:t>
            </w:r>
          </w:p>
        </w:tc>
        <w:tc>
          <w:tcPr>
            <w:tcW w:type="dxa" w:w="7030"/>
            <w:tcMar>
              <w:top w:w="60" w:type="dxa"/>
              <w:bottom w:w="60" w:type="dxa"/>
              <w:start w:w="110" w:type="dxa"/>
              <w:end w:w="110" w:type="dxa"/>
            </w:tcMar>
          </w:tcPr>
          <w:p>
            <w:pPr>
              <w:spacing w:after="40" w:before="20"/>
            </w:pPr>
            <w:r>
              <w:rPr>
                <w:rFonts w:ascii="Calibri" w:hAnsi="Calibri"/>
                <w:b w:val="0"/>
                <w:i w:val="0"/>
                <w:color w:val="222A2E"/>
                <w:sz w:val="20"/>
              </w:rPr>
              <w:t>Administered and controlled by Siemens Energy (Principal Contractor) in alignment with client (MOE/BGC) site rules. For work on client live/operational plant or within client-controlled areas, the client PTW system and its Area/Isolation Authority take precedence, and this procedure is aligned accordingly.</w:t>
            </w:r>
          </w:p>
        </w:tc>
      </w:tr>
      <w:tr>
        <w:tc>
          <w:tcPr>
            <w:tcW w:type="dxa" w:w="2835"/>
            <w:shd w:val="clear" w:color="auto" w:fill="DCEFF1"/>
            <w:tcMar>
              <w:top w:w="60" w:type="dxa"/>
              <w:bottom w:w="60" w:type="dxa"/>
              <w:start w:w="110" w:type="dxa"/>
              <w:end w:w="110" w:type="dxa"/>
            </w:tcMar>
          </w:tcPr>
          <w:p>
            <w:pPr>
              <w:spacing w:after="40" w:before="20"/>
            </w:pPr>
            <w:r>
              <w:rPr>
                <w:rFonts w:ascii="Calibri" w:hAnsi="Calibri"/>
                <w:b/>
                <w:i w:val="0"/>
                <w:color w:val="003B4A"/>
                <w:sz w:val="20"/>
              </w:rPr>
              <w:t>Governing Standards</w:t>
            </w:r>
          </w:p>
        </w:tc>
        <w:tc>
          <w:tcPr>
            <w:tcW w:type="dxa" w:w="703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Iraqi Labour Law No. 37 of 2015 • OSHA 29 CFR 1926/1910 • NFPA 70E • Siemens Energy Global PTW Standard Framework</w:t>
            </w:r>
          </w:p>
        </w:tc>
      </w:tr>
      <w:tr>
        <w:tc>
          <w:tcPr>
            <w:tcW w:type="dxa" w:w="2835"/>
            <w:shd w:val="clear" w:color="auto" w:fill="DCEFF1"/>
            <w:tcMar>
              <w:top w:w="60" w:type="dxa"/>
              <w:bottom w:w="60" w:type="dxa"/>
              <w:start w:w="110" w:type="dxa"/>
              <w:end w:w="110" w:type="dxa"/>
            </w:tcMar>
          </w:tcPr>
          <w:p>
            <w:pPr>
              <w:spacing w:after="40" w:before="20"/>
            </w:pPr>
            <w:r>
              <w:rPr>
                <w:rFonts w:ascii="Calibri" w:hAnsi="Calibri"/>
                <w:b/>
                <w:i w:val="0"/>
                <w:color w:val="003B4A"/>
                <w:sz w:val="20"/>
              </w:rPr>
              <w:t>Technical-Limit References</w:t>
            </w:r>
          </w:p>
        </w:tc>
        <w:tc>
          <w:tcPr>
            <w:tcW w:type="dxa" w:w="7030"/>
            <w:tcMar>
              <w:top w:w="60" w:type="dxa"/>
              <w:bottom w:w="60" w:type="dxa"/>
              <w:start w:w="110" w:type="dxa"/>
              <w:end w:w="110" w:type="dxa"/>
            </w:tcMar>
          </w:tcPr>
          <w:p>
            <w:pPr>
              <w:spacing w:after="40" w:before="20"/>
            </w:pPr>
            <w:r>
              <w:rPr>
                <w:rFonts w:ascii="Calibri" w:hAnsi="Calibri"/>
                <w:b w:val="0"/>
                <w:i w:val="0"/>
                <w:color w:val="222A2E"/>
                <w:sz w:val="20"/>
              </w:rPr>
              <w:t>OSHA 29 CFR 1926 Subpart M (fall protection – work at height ≥ 1.8 m) &amp; Subpart P (excavation/trenching – protective systems &gt; 1.2 m) • NFPA 70E (energized electrical work / Arc Flash) • Crane manufacturer &amp; OSHA 1926.1400 (lifting wind limits) • Where requirements differ, the more stringent applies.</w:t>
            </w:r>
          </w:p>
        </w:tc>
      </w:tr>
    </w:tbl>
    <w:p>
      <w:pPr>
        <w:keepNext/>
        <w:spacing w:before="280" w:after="120"/>
        <w:pBdr>
          <w:bottom w:val="single" w:sz="12" w:space="3" w:color="007E8C"/>
        </w:pBdr>
      </w:pPr>
      <w:r>
        <w:rPr>
          <w:rFonts w:ascii="Calibri" w:hAnsi="Calibri"/>
          <w:b/>
          <w:color w:val="003B4A"/>
          <w:sz w:val="25"/>
        </w:rPr>
        <w:t>SECTION 1: PURPOSE &amp; GENERAL SCOPE</w:t>
      </w:r>
    </w:p>
    <w:p>
      <w:pPr>
        <w:spacing w:after="80"/>
      </w:pPr>
      <w:r>
        <w:rPr>
          <w:rFonts w:ascii="Calibri" w:hAnsi="Calibri"/>
          <w:color w:val="222A2E"/>
          <w:sz w:val="21"/>
        </w:rPr>
        <w:t>The Permit to Work (PTW) system is a formal, written safety management process used to authorize specific high-risk activities on the KAZ Power Plant Upgrade Project. The system ensures that risks are systematically identified, proper control measures are verified on-site, and formal approval is documented before any work commences.</w:t>
      </w:r>
    </w:p>
    <w:p>
      <w:pPr>
        <w:keepNext/>
        <w:spacing w:before="280" w:after="120"/>
        <w:pBdr>
          <w:bottom w:val="single" w:sz="12" w:space="3" w:color="007E8C"/>
        </w:pBdr>
      </w:pPr>
      <w:r>
        <w:rPr>
          <w:rFonts w:ascii="Calibri" w:hAnsi="Calibri"/>
          <w:b/>
          <w:color w:val="003B4A"/>
          <w:sz w:val="25"/>
        </w:rPr>
        <w:t>SECTION 2: ROLES &amp; RESPONSIBILITIES MATRIX</w:t>
      </w:r>
    </w:p>
    <w:tbl>
      <w:tblPr>
        <w:tblW w:type="auto" w:w="0"/>
        <w:tblLayout w:type="fixed"/>
        <w:tblLook w:firstColumn="1" w:firstRow="1" w:lastColumn="0" w:lastRow="0" w:noHBand="0" w:noVBand="1" w:val="04A0"/>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Layout w:type="fixed"/>
      </w:tblPr>
      <w:tblGrid>
        <w:gridCol w:w="2494"/>
        <w:gridCol w:w="7370"/>
      </w:tblGrid>
      <w:tr>
        <w:tc>
          <w:tcPr>
            <w:tcW w:type="dxa" w:w="2494"/>
            <w:shd w:val="clear" w:color="auto" w:fill="007E8C"/>
            <w:tcMar>
              <w:top w:w="60" w:type="dxa"/>
              <w:bottom w:w="60" w:type="dxa"/>
              <w:start w:w="110" w:type="dxa"/>
              <w:end w:w="110" w:type="dxa"/>
            </w:tcMar>
          </w:tcPr>
          <w:p>
            <w:pPr>
              <w:spacing w:after="40" w:before="20"/>
            </w:pPr>
            <w:r>
              <w:rPr>
                <w:rFonts w:ascii="Calibri" w:hAnsi="Calibri"/>
                <w:b/>
                <w:i w:val="0"/>
                <w:color w:val="FFFFFF"/>
                <w:sz w:val="20"/>
              </w:rPr>
              <w:t>Role Title</w:t>
            </w:r>
          </w:p>
        </w:tc>
        <w:tc>
          <w:tcPr>
            <w:tcW w:type="dxa" w:w="7370"/>
            <w:shd w:val="clear" w:color="auto" w:fill="007E8C"/>
            <w:tcMar>
              <w:top w:w="60" w:type="dxa"/>
              <w:bottom w:w="60" w:type="dxa"/>
              <w:start w:w="110" w:type="dxa"/>
              <w:end w:w="110" w:type="dxa"/>
            </w:tcMar>
          </w:tcPr>
          <w:p>
            <w:pPr>
              <w:spacing w:after="40" w:before="20"/>
            </w:pPr>
            <w:r>
              <w:rPr>
                <w:rFonts w:ascii="Calibri" w:hAnsi="Calibri"/>
                <w:b/>
                <w:i w:val="0"/>
                <w:color w:val="FFFFFF"/>
                <w:sz w:val="20"/>
              </w:rPr>
              <w:t>System Responsibilities &amp; Authority</w:t>
            </w:r>
          </w:p>
        </w:tc>
      </w:tr>
      <w:tr>
        <w:tc>
          <w:tcPr>
            <w:tcW w:type="dxa" w:w="2494"/>
            <w:tcMar>
              <w:top w:w="60" w:type="dxa"/>
              <w:bottom w:w="60" w:type="dxa"/>
              <w:start w:w="110" w:type="dxa"/>
              <w:end w:w="110" w:type="dxa"/>
            </w:tcMar>
            <w:vAlign w:val="center"/>
          </w:tcPr>
          <w:p>
            <w:pPr>
              <w:spacing w:after="40" w:before="20"/>
            </w:pPr>
            <w:r>
              <w:rPr>
                <w:rFonts w:ascii="Calibri" w:hAnsi="Calibri"/>
                <w:b/>
                <w:i w:val="0"/>
                <w:color w:val="003B4A"/>
                <w:sz w:val="20"/>
              </w:rPr>
              <w:t>Permit Issuer (PI)</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Authorized Siemens Energy Engineer / EHS Supervisor responsible for assessing site conditions, verifying safety precautions, conducting joint inspections, and signing to issue permits.</w:t>
            </w:r>
          </w:p>
          <w:p>
            <w:pPr>
              <w:spacing w:after="40" w:before="0"/>
            </w:pPr>
            <w:r>
              <w:rPr>
                <w:rFonts w:ascii="Calibri" w:hAnsi="Calibri"/>
                <w:b w:val="0"/>
                <w:i w:val="0"/>
                <w:color w:val="222A2E"/>
                <w:sz w:val="20"/>
              </w:rPr>
              <w:t>Issues permits on behalf of Siemens Energy; technical permit approval authority rests with the Area Authority for the work location.</w:t>
            </w:r>
          </w:p>
        </w:tc>
      </w:tr>
      <w:tr>
        <w:tc>
          <w:tcPr>
            <w:tcW w:type="dxa" w:w="2494"/>
            <w:tcMar>
              <w:top w:w="60" w:type="dxa"/>
              <w:bottom w:w="60" w:type="dxa"/>
              <w:start w:w="110" w:type="dxa"/>
              <w:end w:w="110" w:type="dxa"/>
            </w:tcMar>
            <w:shd w:val="clear" w:color="auto" w:fill="EAF4F5"/>
            <w:vAlign w:val="center"/>
          </w:tcPr>
          <w:p>
            <w:pPr>
              <w:spacing w:after="40" w:before="20"/>
            </w:pPr>
            <w:r>
              <w:rPr>
                <w:rFonts w:ascii="Calibri" w:hAnsi="Calibri"/>
                <w:b/>
                <w:i w:val="0"/>
                <w:color w:val="003B4A"/>
                <w:sz w:val="20"/>
              </w:rPr>
              <w:t>Permit Holder / Applicant (PH)</w:t>
            </w:r>
          </w:p>
        </w:tc>
        <w:tc>
          <w:tcPr>
            <w:tcW w:type="dxa" w:w="7370"/>
            <w:tcMar>
              <w:top w:w="60" w:type="dxa"/>
              <w:bottom w:w="60" w:type="dxa"/>
              <w:start w:w="110" w:type="dxa"/>
              <w:end w:w="110" w:type="dxa"/>
            </w:tcMar>
            <w:shd w:val="clear" w:color="auto" w:fill="EAF4F5"/>
          </w:tcPr>
          <w:p>
            <w:pPr>
              <w:spacing w:after="40" w:before="20"/>
            </w:pPr>
            <w:r>
              <w:rPr>
                <w:rFonts w:ascii="Calibri" w:hAnsi="Calibri"/>
                <w:b w:val="0"/>
                <w:i w:val="0"/>
                <w:color w:val="222A2E"/>
                <w:sz w:val="20"/>
              </w:rPr>
              <w:t>Competent Subcontractor Supervisor / Engineer requesting the permit. Responsible for briefing workers on Job Safety Analysis (JSA), maintaining site safety, and closing permits at shift end.</w:t>
            </w:r>
          </w:p>
        </w:tc>
      </w:tr>
      <w:tr>
        <w:tc>
          <w:tcPr>
            <w:tcW w:type="dxa" w:w="2494"/>
            <w:tcMar>
              <w:top w:w="60" w:type="dxa"/>
              <w:bottom w:w="60" w:type="dxa"/>
              <w:start w:w="110" w:type="dxa"/>
              <w:end w:w="110" w:type="dxa"/>
            </w:tcMar>
            <w:vAlign w:val="center"/>
          </w:tcPr>
          <w:p>
            <w:pPr>
              <w:spacing w:after="40" w:before="20"/>
            </w:pPr>
            <w:r>
              <w:rPr>
                <w:rFonts w:ascii="Calibri" w:hAnsi="Calibri"/>
                <w:b/>
                <w:i w:val="0"/>
                <w:color w:val="003B4A"/>
                <w:sz w:val="20"/>
              </w:rPr>
              <w:t>Area Authority (AA)</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Operational owner of the plant / equipment / area where the work takes place (Siemens Energy or Client / Operations as applicable). Holds technical permit approval authority, authorizes work within the area, coordinates simultaneous operations, and confirms the plant condition is safe for the activity.</w:t>
            </w:r>
          </w:p>
        </w:tc>
      </w:tr>
      <w:tr>
        <w:tc>
          <w:tcPr>
            <w:tcW w:type="dxa" w:w="2494"/>
            <w:tcMar>
              <w:top w:w="60" w:type="dxa"/>
              <w:bottom w:w="60" w:type="dxa"/>
              <w:start w:w="110" w:type="dxa"/>
              <w:end w:w="110" w:type="dxa"/>
            </w:tcMar>
            <w:shd w:val="clear" w:color="auto" w:fill="EAF4F5"/>
            <w:vAlign w:val="center"/>
          </w:tcPr>
          <w:p>
            <w:pPr>
              <w:spacing w:after="40" w:before="20"/>
            </w:pPr>
            <w:r>
              <w:rPr>
                <w:rFonts w:ascii="Calibri" w:hAnsi="Calibri"/>
                <w:b/>
                <w:i w:val="0"/>
                <w:color w:val="003B4A"/>
                <w:sz w:val="20"/>
              </w:rPr>
              <w:t>Authorized Electrical Person (AEP) / Isolation Authority (IA)</w:t>
            </w:r>
          </w:p>
        </w:tc>
        <w:tc>
          <w:tcPr>
            <w:tcW w:type="dxa" w:w="7370"/>
            <w:tcMar>
              <w:top w:w="60" w:type="dxa"/>
              <w:bottom w:w="60" w:type="dxa"/>
              <w:start w:w="110" w:type="dxa"/>
              <w:end w:w="110" w:type="dxa"/>
            </w:tcMar>
            <w:shd w:val="clear" w:color="auto" w:fill="EAF4F5"/>
          </w:tcPr>
          <w:p>
            <w:pPr>
              <w:spacing w:after="40" w:before="20"/>
            </w:pPr>
            <w:r>
              <w:rPr>
                <w:rFonts w:ascii="Calibri" w:hAnsi="Calibri"/>
                <w:b w:val="0"/>
                <w:i w:val="0"/>
                <w:color w:val="222A2E"/>
                <w:sz w:val="20"/>
              </w:rPr>
              <w:t>Certified Electrical / Mechanical Engineer responsible for conducting high/low voltage isolations, commissioning testing, Arc Flash boundary assessments, grounding, LOTO application, and authorizing Electrical Cold/Hot Permits.</w:t>
            </w:r>
          </w:p>
          <w:p>
            <w:pPr>
              <w:spacing w:after="40" w:before="0"/>
            </w:pPr>
            <w:r>
              <w:rPr>
                <w:rFonts w:ascii="Calibri" w:hAnsi="Calibri"/>
                <w:b w:val="0"/>
                <w:i w:val="0"/>
                <w:color w:val="222A2E"/>
                <w:sz w:val="20"/>
              </w:rPr>
              <w:t>As Isolation Authority, applies/removes isolations and controls the LOTO register independently of PTW validity.</w:t>
            </w:r>
          </w:p>
        </w:tc>
      </w:tr>
      <w:tr>
        <w:tc>
          <w:tcPr>
            <w:tcW w:type="dxa" w:w="2494"/>
            <w:tcMar>
              <w:top w:w="60" w:type="dxa"/>
              <w:bottom w:w="60" w:type="dxa"/>
              <w:start w:w="110" w:type="dxa"/>
              <w:end w:w="110" w:type="dxa"/>
            </w:tcMar>
            <w:vAlign w:val="center"/>
          </w:tcPr>
          <w:p>
            <w:pPr>
              <w:spacing w:after="40" w:before="20"/>
            </w:pPr>
            <w:r>
              <w:rPr>
                <w:rFonts w:ascii="Calibri" w:hAnsi="Calibri"/>
                <w:b/>
                <w:i w:val="0"/>
                <w:color w:val="003B4A"/>
                <w:sz w:val="20"/>
              </w:rPr>
              <w:t>EHS Reviewer / Manager</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Audits PTW implementation, reviews high-risk permits (e.g., Electrical Hot/Commissioning, Confined Space, Critical Lifting, LOTO), conducts random site checks, and halts work if permit conditions are breached.</w:t>
            </w:r>
          </w:p>
          <w:p>
            <w:pPr>
              <w:spacing w:after="40" w:before="0"/>
            </w:pPr>
            <w:r>
              <w:rPr>
                <w:rFonts w:ascii="Calibri" w:hAnsi="Calibri"/>
                <w:b w:val="0"/>
                <w:i w:val="0"/>
                <w:color w:val="222A2E"/>
                <w:sz w:val="20"/>
              </w:rPr>
              <w:t>EHS acts as reviewer and auditor only and holds no technical permit approval authority; technical approval rests with the responsible operational / Area Authority.</w:t>
            </w:r>
          </w:p>
        </w:tc>
      </w:tr>
      <w:tr>
        <w:tc>
          <w:tcPr>
            <w:tcW w:type="dxa" w:w="2494"/>
            <w:tcMar>
              <w:top w:w="60" w:type="dxa"/>
              <w:bottom w:w="60" w:type="dxa"/>
              <w:start w:w="110" w:type="dxa"/>
              <w:end w:w="110" w:type="dxa"/>
            </w:tcMar>
            <w:shd w:val="clear" w:color="auto" w:fill="EAF4F5"/>
            <w:vAlign w:val="center"/>
          </w:tcPr>
          <w:p>
            <w:pPr>
              <w:spacing w:after="40" w:before="20"/>
            </w:pPr>
            <w:r>
              <w:rPr>
                <w:rFonts w:ascii="Calibri" w:hAnsi="Calibri"/>
                <w:b/>
                <w:i w:val="0"/>
                <w:color w:val="003B4A"/>
                <w:sz w:val="20"/>
              </w:rPr>
              <w:t>Authorized Gas Tester (AGT)</w:t>
            </w:r>
          </w:p>
        </w:tc>
        <w:tc>
          <w:tcPr>
            <w:tcW w:type="dxa" w:w="7370"/>
            <w:tcMar>
              <w:top w:w="60" w:type="dxa"/>
              <w:bottom w:w="60" w:type="dxa"/>
              <w:start w:w="110" w:type="dxa"/>
              <w:end w:w="110" w:type="dxa"/>
            </w:tcMar>
            <w:shd w:val="clear" w:color="auto" w:fill="EAF4F5"/>
          </w:tcPr>
          <w:p>
            <w:pPr>
              <w:spacing w:after="40" w:before="20"/>
            </w:pPr>
            <w:r>
              <w:rPr>
                <w:rFonts w:ascii="Calibri" w:hAnsi="Calibri"/>
                <w:b w:val="0"/>
                <w:i w:val="0"/>
                <w:color w:val="222A2E"/>
                <w:sz w:val="20"/>
              </w:rPr>
              <w:t>Certified individual responsible for testing and recording atmospheric conditions (O2, LEL, H2S, CO) for Confined Space and Hot Work permits.</w:t>
            </w:r>
          </w:p>
        </w:tc>
      </w:tr>
    </w:tbl>
    <w:p>
      <w:pPr>
        <w:keepNext/>
        <w:spacing w:before="280" w:after="120"/>
        <w:pBdr>
          <w:bottom w:val="single" w:sz="12" w:space="3" w:color="007E8C"/>
        </w:pBdr>
      </w:pPr>
      <w:r>
        <w:rPr>
          <w:rFonts w:ascii="Calibri" w:hAnsi="Calibri"/>
          <w:b/>
          <w:color w:val="003B4A"/>
          <w:sz w:val="25"/>
        </w:rPr>
        <w:t>SECTION 2A: PTW AUTHORITY &amp; GOVERNANCE (CLARIFICATION)</w:t>
      </w:r>
    </w:p>
    <w:p>
      <w:pPr>
        <w:spacing w:after="60"/>
        <w:ind w:left="283" w:hanging="283"/>
      </w:pPr>
      <w:r>
        <w:rPr>
          <w:rFonts w:ascii="Calibri" w:hAnsi="Calibri"/>
          <w:b/>
          <w:color w:val="007E8C"/>
          <w:sz w:val="21"/>
        </w:rPr>
        <w:t xml:space="preserve">▪  </w:t>
      </w:r>
      <w:r>
        <w:rPr>
          <w:rFonts w:ascii="Calibri" w:hAnsi="Calibri"/>
          <w:color w:val="222A2E"/>
          <w:sz w:val="21"/>
        </w:rPr>
        <w:t>PTW system control: Siemens Energy, as Principal Contractor, administers and controls the PTW system for its own and subcontractor works in accordance with this procedure and the client (MOE/BGC) site rules. Where work is performed on client live/operational plant or within client-controlled areas, the client PTW system and its Area/Isolation Authority take precedence, and this procedure is aligned to (and subordinate to) the client system.</w:t>
      </w:r>
    </w:p>
    <w:p>
      <w:pPr>
        <w:spacing w:after="60"/>
        <w:ind w:left="283" w:hanging="283"/>
      </w:pPr>
      <w:r>
        <w:rPr>
          <w:rFonts w:ascii="Calibri" w:hAnsi="Calibri"/>
          <w:b/>
          <w:color w:val="007E8C"/>
          <w:sz w:val="21"/>
        </w:rPr>
        <w:t xml:space="preserve">▪  </w:t>
      </w:r>
      <w:r>
        <w:rPr>
          <w:rFonts w:ascii="Calibri" w:hAnsi="Calibri"/>
          <w:color w:val="222A2E"/>
          <w:sz w:val="21"/>
        </w:rPr>
        <w:t>Three authorities are defined: the Permit Issuer (Siemens Energy), the Area Authority (operational owner of the location), and the Isolation Authority (AEP) for energy isolations — see the Roles &amp; Responsibilities Matrix (Section 2).</w:t>
      </w:r>
    </w:p>
    <w:p>
      <w:pPr>
        <w:spacing w:after="60"/>
        <w:ind w:left="283" w:hanging="283"/>
      </w:pPr>
      <w:r>
        <w:rPr>
          <w:rFonts w:ascii="Calibri" w:hAnsi="Calibri"/>
          <w:b/>
          <w:color w:val="007E8C"/>
          <w:sz w:val="21"/>
        </w:rPr>
        <w:t xml:space="preserve">▪  </w:t>
      </w:r>
      <w:r>
        <w:rPr>
          <w:rFonts w:ascii="Calibri" w:hAnsi="Calibri"/>
          <w:color w:val="222A2E"/>
          <w:sz w:val="21"/>
        </w:rPr>
        <w:t>Separation of duties: EHS acts as reviewer and auditor of the PTW process. Technical permit approval authority rests with the responsible operational / Area Authority; the Isolation Authority controls energy isolations (LOTO).</w:t>
      </w:r>
    </w:p>
    <w:p>
      <w:pPr>
        <w:keepNext/>
        <w:spacing w:before="280" w:after="120"/>
        <w:pBdr>
          <w:bottom w:val="single" w:sz="12" w:space="3" w:color="007E8C"/>
        </w:pBdr>
      </w:pPr>
      <w:r>
        <w:rPr>
          <w:rFonts w:ascii="Calibri" w:hAnsi="Calibri"/>
          <w:b/>
          <w:color w:val="003B4A"/>
          <w:sz w:val="25"/>
        </w:rPr>
        <w:t>SECTION 3: PERMIT CATEGORIES, ELECTRICAL CLASSIFICATION &amp; VALIDITY PERIODS</w:t>
      </w:r>
    </w:p>
    <w:tbl>
      <w:tblPr>
        <w:tblW w:type="auto" w:w="0"/>
        <w:tblLayout w:type="fixed"/>
        <w:tblLook w:firstColumn="1" w:firstRow="1" w:lastColumn="0" w:lastRow="0" w:noHBand="0" w:noVBand="1" w:val="04A0"/>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Layout w:type="fixed"/>
      </w:tblPr>
      <w:tblGrid>
        <w:gridCol w:w="2494"/>
        <w:gridCol w:w="7370"/>
      </w:tblGrid>
      <w:tr>
        <w:tc>
          <w:tcPr>
            <w:tcW w:type="dxa" w:w="7370"/>
            <w:gridSpan w:val="2"/>
            <w:shd w:val="clear" w:color="auto" w:fill="007E8C"/>
            <w:tcMar>
              <w:top w:w="70" w:type="dxa"/>
              <w:bottom w:w="70" w:type="dxa"/>
              <w:start w:w="110" w:type="dxa"/>
              <w:end w:w="110" w:type="dxa"/>
            </w:tcMar>
          </w:tcPr>
          <w:p>
            <w:pPr>
              <w:spacing w:after="40" w:before="20"/>
            </w:pPr>
            <w:r>
              <w:rPr>
                <w:rFonts w:ascii="Calibri" w:hAnsi="Calibri"/>
                <w:b/>
                <w:i w:val="0"/>
                <w:color w:val="FFFFFF"/>
                <w:sz w:val="21"/>
              </w:rPr>
              <w:t>1. General Cold Work Permit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Validity / Renewal</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Weekly (Max 7 Days with Daily Endorsement)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Scope of Activities Covered</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General mechanical assembly/disassembly, piping installation, routine civil works, and non-hazardous maintenance not involving heat or live energy.</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Mandatory Prerequisites &amp; Attachments</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Approved JSA / Method Statement. Equipment pre-use inspection checklist.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Key On-Site Control Measures</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Standard PPE enforcement. Housekeeping and path barricading. Tool tethering and safe access routes.</w:t>
            </w:r>
          </w:p>
        </w:tc>
      </w:tr>
      <w:tr>
        <w:tc>
          <w:tcPr>
            <w:tcW w:type="dxa" w:w="7370"/>
            <w:gridSpan w:val="2"/>
            <w:shd w:val="clear" w:color="auto" w:fill="007E8C"/>
            <w:tcMar>
              <w:top w:w="70" w:type="dxa"/>
              <w:bottom w:w="70" w:type="dxa"/>
              <w:start w:w="110" w:type="dxa"/>
              <w:end w:w="110" w:type="dxa"/>
            </w:tcMar>
          </w:tcPr>
          <w:p>
            <w:pPr>
              <w:spacing w:after="40" w:before="20"/>
            </w:pPr>
            <w:r>
              <w:rPr>
                <w:rFonts w:ascii="Calibri" w:hAnsi="Calibri"/>
                <w:b/>
                <w:i w:val="0"/>
                <w:color w:val="FFFFFF"/>
                <w:sz w:val="21"/>
              </w:rPr>
              <w:t>2. Electrical Cold Work Permit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Validity / Renewal</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Weekly (Max 7 Days with Daily Endorsement)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Scope of Activities Covered</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Non-energized electrical works, cable pulling, ladder tray installation, panel mounting, dead cable splicing, and general electrical installation activities (de-energized state).</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Mandatory Prerequisites &amp; Attachments</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Approved JSA &amp; Installation Method Statement. Single-Line Diagram (SLD) / Layout Drawing. Insulated Tool Inspection Checklist.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Key On-Site Control Measures</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Verification of completely de-energized system state. Calibrated insulated hand tools (1000 V rated). Barricading around active installation zones. Standard electrical PPE (safety shoes, leather gloves).</w:t>
            </w:r>
          </w:p>
        </w:tc>
      </w:tr>
      <w:tr>
        <w:tc>
          <w:tcPr>
            <w:tcW w:type="dxa" w:w="7370"/>
            <w:gridSpan w:val="2"/>
            <w:shd w:val="clear" w:color="auto" w:fill="007E8C"/>
            <w:tcMar>
              <w:top w:w="70" w:type="dxa"/>
              <w:bottom w:w="70" w:type="dxa"/>
              <w:start w:w="110" w:type="dxa"/>
              <w:end w:w="110" w:type="dxa"/>
            </w:tcMar>
          </w:tcPr>
          <w:p>
            <w:pPr>
              <w:spacing w:after="40" w:before="20"/>
            </w:pPr>
            <w:r>
              <w:rPr>
                <w:rFonts w:ascii="Calibri" w:hAnsi="Calibri"/>
                <w:b/>
                <w:i w:val="0"/>
                <w:color w:val="FFFFFF"/>
                <w:sz w:val="21"/>
              </w:rPr>
              <w:t>3. Electrical Hot Work &amp; Commissioning Permit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Validity / Renewal</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Daily (Must be renewed every shift)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Scope of Activities Covered</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Energized electrical works, commissioning activities, live testing/troubleshooting, switchgear energization, transformer testing, MCC energization, and HV/LV commissioning tasks.</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Mandatory Prerequisites &amp; Attachments</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Approved JSA &amp; Commissioning Method Statement. SLD / Energization Plan. Arc Flash Risk Assessment &amp; Boundary Calculation. AEP Authorization Certificate.</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Key On-Site Control Measures</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Arc Flash PPE Category 2/4 (face shield, flame-resistant suit/hood). Calibrated voltage detectors &amp; insulated tools. Dielectric insulating rubber mats at panel front. AEP supervision on-site. Barricading with Arc Flash warning signage.</w:t>
            </w:r>
          </w:p>
        </w:tc>
      </w:tr>
      <w:tr>
        <w:tc>
          <w:tcPr>
            <w:tcW w:type="dxa" w:w="7370"/>
            <w:gridSpan w:val="2"/>
            <w:shd w:val="clear" w:color="auto" w:fill="007E8C"/>
            <w:tcMar>
              <w:top w:w="70" w:type="dxa"/>
              <w:bottom w:w="70" w:type="dxa"/>
              <w:start w:w="110" w:type="dxa"/>
              <w:end w:w="110" w:type="dxa"/>
            </w:tcMar>
          </w:tcPr>
          <w:p>
            <w:pPr>
              <w:spacing w:after="40" w:before="20"/>
            </w:pPr>
            <w:r>
              <w:rPr>
                <w:rFonts w:ascii="Calibri" w:hAnsi="Calibri"/>
                <w:b/>
                <w:i w:val="0"/>
                <w:color w:val="FFFFFF"/>
                <w:sz w:val="21"/>
              </w:rPr>
              <w:t>4. Energy Isolation (LOTO) Permit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Validity / Renewal</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Daily (Must be renewed every shift)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Scope of Activities Covered</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All mechanical, pneumatic, hydraulic, thermal, and electrical energy isolations associated with maintenance or commissioning activities. LOTO validity is managed separately from PTW validity: isolations remain under Isolation Authority control until formal de-isolation, regardless of permit expiry/renewal.</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Mandatory Prerequisites &amp; Attachments</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Approved JSA &amp; Isolation Plan. P&amp;ID / SLD Isolation Drawing. LOTO Key Register &amp; Isolation Certificate.</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Key On-Site Control Measures</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Physical padlocks, hasps, and “DO NOT OPERATE” tags applied. Zero Energy State verification test (voltage check, depressurization). Lockbox key containment under AEP control.</w:t>
            </w:r>
          </w:p>
        </w:tc>
      </w:tr>
      <w:tr>
        <w:tc>
          <w:tcPr>
            <w:tcW w:type="dxa" w:w="7370"/>
            <w:gridSpan w:val="2"/>
            <w:shd w:val="clear" w:color="auto" w:fill="007E8C"/>
            <w:tcMar>
              <w:top w:w="70" w:type="dxa"/>
              <w:bottom w:w="70" w:type="dxa"/>
              <w:start w:w="110" w:type="dxa"/>
              <w:end w:w="110" w:type="dxa"/>
            </w:tcMar>
          </w:tcPr>
          <w:p>
            <w:pPr>
              <w:spacing w:after="40" w:before="20"/>
            </w:pPr>
            <w:r>
              <w:rPr>
                <w:rFonts w:ascii="Calibri" w:hAnsi="Calibri"/>
                <w:b/>
                <w:i w:val="0"/>
                <w:color w:val="FFFFFF"/>
                <w:sz w:val="21"/>
              </w:rPr>
              <w:t>5. Hot Work Permit (Thermal / Open Flame)</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Validity / Renewal</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Daily (Must be renewed every shift)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Scope of Activities Covered</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Welding, flame cutting, grinding, soldering, thermal spraying, or any activity producing sparks, open flames, or heat above 100°C.</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Mandatory Prerequisites &amp; Attachments</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Approved JSA. Fire Watch appointment form. Gas Test certificate (if near fuel/chemical zones).</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Key On-Site Control Measures</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Fire blanket containment &amp; 10 m combustible clearance. Dedicated Fire Watch during work + 30 min post-work. Min. 2× 10 kg Dry Chemical Powder / CO2 extinguishers at site.</w:t>
            </w:r>
          </w:p>
        </w:tc>
      </w:tr>
      <w:tr>
        <w:tc>
          <w:tcPr>
            <w:tcW w:type="dxa" w:w="7370"/>
            <w:gridSpan w:val="2"/>
            <w:shd w:val="clear" w:color="auto" w:fill="007E8C"/>
            <w:tcMar>
              <w:top w:w="70" w:type="dxa"/>
              <w:bottom w:w="70" w:type="dxa"/>
              <w:start w:w="110" w:type="dxa"/>
              <w:end w:w="110" w:type="dxa"/>
            </w:tcMar>
          </w:tcPr>
          <w:p>
            <w:pPr>
              <w:spacing w:after="40" w:before="20"/>
            </w:pPr>
            <w:r>
              <w:rPr>
                <w:rFonts w:ascii="Calibri" w:hAnsi="Calibri"/>
                <w:b/>
                <w:i w:val="0"/>
                <w:color w:val="FFFFFF"/>
                <w:sz w:val="21"/>
              </w:rPr>
              <w:t>6. Excavation &amp; Trenching Permit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Validity / Renewal</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Weekly (Max 7 Days with Daily Endorsement)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Scope of Activities Covered</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Manual or mechanical digging, trenching, piling, or ground penetration exceeding 30 cm depth.</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Mandatory Prerequisites &amp; Attachments</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Underground Utility Clearance Map (signed by Electrical/Instrumentation). Approved JSA &amp; Soil Classification.</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Key On-Site Control Measures</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Shoring, benching, or sloped walls for excavations &gt; 1.2 m. Ladders positioned every 7.5 m for emergency egress. Spoil heaps set back at least 1.0 m from trench edge.</w:t>
            </w:r>
          </w:p>
        </w:tc>
      </w:tr>
      <w:tr>
        <w:tc>
          <w:tcPr>
            <w:tcW w:type="dxa" w:w="7370"/>
            <w:gridSpan w:val="2"/>
            <w:shd w:val="clear" w:color="auto" w:fill="007E8C"/>
            <w:tcMar>
              <w:top w:w="70" w:type="dxa"/>
              <w:bottom w:w="70" w:type="dxa"/>
              <w:start w:w="110" w:type="dxa"/>
              <w:end w:w="110" w:type="dxa"/>
            </w:tcMar>
          </w:tcPr>
          <w:p>
            <w:pPr>
              <w:spacing w:after="40" w:before="20"/>
            </w:pPr>
            <w:r>
              <w:rPr>
                <w:rFonts w:ascii="Calibri" w:hAnsi="Calibri"/>
                <w:b/>
                <w:i w:val="0"/>
                <w:color w:val="FFFFFF"/>
                <w:sz w:val="21"/>
              </w:rPr>
              <w:t>7. Lifting Permit (Mandatory Lifting Plan)</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Validity / Renewal</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Daily (Must be renewed every shift)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Scope of Activities Covered</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ALL lifting operations using mobile cranes, tower cranes, overhead cranes, or heavy rigging gear without exception. Critical lifts (e.g., loads &gt; 75% of crane rated capacity, multi-crane lifts, lifts over live plant / energized equipment, tandem or non-routine heavy rigging) require a detailed, engineered Lifting Plan prepared, reviewed and approved by a competent lifting authority. Routine lifts (well within crane capacity, standard rigging) may proceed under a standard lift plan / rigging checklist attached to the permit.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Mandatory Prerequisites &amp; Attachments</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LIFTING PLAN – mandatory &amp; detailed for critical lifts; standard lift plan / rigging checklist for routine lifts (classified by the appointed lift planner). 3rd-party crane &amp; tackle certificates. Operator &amp; Rigger competency cards.</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Key On-Site Control Measures</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Outriggers 100% extended on timber pads. Barricaded exclusion zone around swing radius. Taglines for load control; no lifts in winds &gt; 32 km/h.</w:t>
            </w:r>
          </w:p>
        </w:tc>
      </w:tr>
      <w:tr>
        <w:tc>
          <w:tcPr>
            <w:tcW w:type="dxa" w:w="7370"/>
            <w:gridSpan w:val="2"/>
            <w:shd w:val="clear" w:color="auto" w:fill="007E8C"/>
            <w:tcMar>
              <w:top w:w="70" w:type="dxa"/>
              <w:bottom w:w="70" w:type="dxa"/>
              <w:start w:w="110" w:type="dxa"/>
              <w:end w:w="110" w:type="dxa"/>
            </w:tcMar>
          </w:tcPr>
          <w:p>
            <w:pPr>
              <w:spacing w:after="40" w:before="20"/>
            </w:pPr>
            <w:r>
              <w:rPr>
                <w:rFonts w:ascii="Calibri" w:hAnsi="Calibri"/>
                <w:b/>
                <w:i w:val="0"/>
                <w:color w:val="FFFFFF"/>
                <w:sz w:val="21"/>
              </w:rPr>
              <w:t>8. Work at Height Permit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Validity / Renewal</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Daily (Must be renewed every shift)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Scope of Activities Covered</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Any task performed at an elevated height of 1.8 meters or above where a fall hazard exists.</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Mandatory Prerequisites &amp; Attachments</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Scaffold Green Inspection Tag. Fall Protection Plan &amp; JSA.</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Key On-Site Control Measures</w:t>
            </w:r>
          </w:p>
        </w:tc>
        <w:tc>
          <w:tcPr>
            <w:tcW w:type="dxa" w:w="7370"/>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100% tie-off using double lanyard harnesses with shock absorbers attached to certified anchor points (&gt; 22 kN). Toe-boards and handrails installed on all working platforms.</w:t>
            </w:r>
          </w:p>
        </w:tc>
      </w:tr>
      <w:tr>
        <w:tc>
          <w:tcPr>
            <w:tcW w:type="dxa" w:w="7370"/>
            <w:gridSpan w:val="2"/>
            <w:shd w:val="clear" w:color="auto" w:fill="007E8C"/>
            <w:tcMar>
              <w:top w:w="70" w:type="dxa"/>
              <w:bottom w:w="70" w:type="dxa"/>
              <w:start w:w="110" w:type="dxa"/>
              <w:end w:w="110" w:type="dxa"/>
            </w:tcMar>
          </w:tcPr>
          <w:p>
            <w:pPr>
              <w:spacing w:after="40" w:before="20"/>
            </w:pPr>
            <w:r>
              <w:rPr>
                <w:rFonts w:ascii="Calibri" w:hAnsi="Calibri"/>
                <w:b/>
                <w:i w:val="0"/>
                <w:color w:val="FFFFFF"/>
                <w:sz w:val="21"/>
              </w:rPr>
              <w:t>9. Confined Space Entry Permit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Validity / Renewal</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Daily (Must be renewed every shift)</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Scope of Activities Covered</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Entry into tanks, pressure vessels, underground ducts/vaults, manholes or other enclosures classified as confined spaces on the basis of risk assessment and atmospheric evaluation (restricted entry/exit and actual or potential hazardous atmosphere). Excavations and trenches are governed by the Excavation &amp; Trenching Permit and are treated as confined spaces only where a specific confined-space risk assessment so determines — depth alone does not define a confined space.</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Mandatory Prerequisites &amp; Attachments</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Approved JSA &amp; Emergency Rescue Plan. AGT Gas Test Log (O2, LEL, H2S, CO). Electrical &amp; Energy Isolation (LOTO) Certificate.</w:t>
            </w:r>
          </w:p>
        </w:tc>
      </w:tr>
      <w:tr>
        <w:tc>
          <w:tcPr>
            <w:tcW w:type="dxa" w:w="2494"/>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Key On-Site Control Measures</w:t>
            </w:r>
          </w:p>
        </w:tc>
        <w:tc>
          <w:tcPr>
            <w:tcW w:type="dxa" w:w="7370"/>
            <w:tcMar>
              <w:top w:w="60" w:type="dxa"/>
              <w:bottom w:w="60" w:type="dxa"/>
              <w:start w:w="110" w:type="dxa"/>
              <w:end w:w="110" w:type="dxa"/>
            </w:tcMar>
          </w:tcPr>
          <w:p>
            <w:pPr>
              <w:spacing w:after="40" w:before="20"/>
            </w:pPr>
            <w:r>
              <w:rPr>
                <w:rFonts w:ascii="Calibri" w:hAnsi="Calibri"/>
                <w:b w:val="0"/>
                <w:i w:val="0"/>
                <w:color w:val="222A2E"/>
                <w:sz w:val="20"/>
              </w:rPr>
              <w:t>Continuous mechanical ventilation. Stationed Standby Entrant/Attendant at entry point with logbook. Full-body harness connected to tripod rescue winch. Confined-space classification confirmed by documented risk assessment before entry.</w:t>
            </w:r>
          </w:p>
        </w:tc>
      </w:tr>
    </w:tbl>
    <w:p>
      <w:pPr>
        <w:keepNext/>
        <w:spacing w:before="280" w:after="120"/>
        <w:pBdr>
          <w:bottom w:val="single" w:sz="12" w:space="3" w:color="007E8C"/>
        </w:pBdr>
      </w:pPr>
      <w:r>
        <w:rPr>
          <w:rFonts w:ascii="Calibri" w:hAnsi="Calibri"/>
          <w:b/>
          <w:color w:val="003B4A"/>
          <w:sz w:val="25"/>
        </w:rPr>
        <w:t>SECTION 4: PERMIT VALIDITY &amp; RENEWAL POLICY SUMMARY</w:t>
      </w:r>
    </w:p>
    <w:p>
      <w:pPr>
        <w:spacing w:after="80"/>
      </w:pPr>
      <w:r>
        <w:rPr>
          <w:rFonts w:ascii="Calibri" w:hAnsi="Calibri"/>
          <w:color w:val="222A2E"/>
          <w:sz w:val="21"/>
        </w:rPr>
        <w:t>SUMMARY OF PERMIT VALIDITY RULES</w:t>
      </w:r>
    </w:p>
    <w:tbl>
      <w:tblPr>
        <w:tblW w:type="auto" w:w="0"/>
        <w:tblLayout w:type="fixed"/>
        <w:tblLook w:firstColumn="1" w:firstRow="1" w:lastColumn="0" w:lastRow="0" w:noHBand="0" w:noVBand="1" w:val="04A0"/>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Layout w:type="fixed"/>
      </w:tblPr>
      <w:tblGrid>
        <w:gridCol w:w="4932"/>
        <w:gridCol w:w="4932"/>
      </w:tblGrid>
      <w:tr>
        <w:tc>
          <w:tcPr>
            <w:tcW w:type="dxa" w:w="4932"/>
            <w:shd w:val="clear" w:color="auto" w:fill="007E8C"/>
            <w:tcMar>
              <w:top w:w="60" w:type="dxa"/>
              <w:bottom w:w="60" w:type="dxa"/>
              <w:start w:w="110" w:type="dxa"/>
              <w:end w:w="110" w:type="dxa"/>
            </w:tcMar>
          </w:tcPr>
          <w:p>
            <w:pPr>
              <w:spacing w:after="40" w:before="20"/>
            </w:pPr>
            <w:r>
              <w:rPr>
                <w:rFonts w:ascii="Calibri" w:hAnsi="Calibri"/>
                <w:b/>
                <w:i w:val="0"/>
                <w:color w:val="FFFFFF"/>
                <w:sz w:val="19"/>
              </w:rPr>
              <w:t>WEEKLY PERMITS (Valid up to 7 Days with Daily Shift Check/Endorsement)</w:t>
            </w:r>
          </w:p>
        </w:tc>
        <w:tc>
          <w:tcPr>
            <w:tcW w:type="dxa" w:w="4932"/>
            <w:shd w:val="clear" w:color="auto" w:fill="007E8C"/>
            <w:tcMar>
              <w:top w:w="60" w:type="dxa"/>
              <w:bottom w:w="60" w:type="dxa"/>
              <w:start w:w="110" w:type="dxa"/>
              <w:end w:w="110" w:type="dxa"/>
            </w:tcMar>
          </w:tcPr>
          <w:p>
            <w:pPr>
              <w:spacing w:after="40" w:before="20"/>
            </w:pPr>
            <w:r>
              <w:rPr>
                <w:rFonts w:ascii="Calibri" w:hAnsi="Calibri"/>
                <w:b/>
                <w:i w:val="0"/>
                <w:color w:val="FFFFFF"/>
                <w:sz w:val="19"/>
              </w:rPr>
              <w:t>DAILY PERMITS (Must be Issued &amp; Re-evaluated Daily / Every Shift)</w:t>
            </w:r>
          </w:p>
        </w:tc>
      </w:tr>
      <w:tr>
        <w:tc>
          <w:tcPr>
            <w:tcW w:type="dxa" w:w="4932"/>
            <w:tcMar>
              <w:top w:w="60" w:type="dxa"/>
              <w:bottom w:w="60" w:type="dxa"/>
              <w:start w:w="110" w:type="dxa"/>
              <w:end w:w="110" w:type="dxa"/>
            </w:tcMar>
          </w:tcPr>
          <w:p>
            <w:pPr>
              <w:spacing w:after="40" w:before="20"/>
            </w:pPr>
            <w:r>
              <w:rPr>
                <w:rFonts w:ascii="Calibri" w:hAnsi="Calibri"/>
                <w:b w:val="0"/>
                <w:i w:val="0"/>
                <w:color w:val="222A2E"/>
                <w:sz w:val="20"/>
              </w:rPr>
              <w:t>▪  General Cold Work Permit</w:t>
            </w:r>
          </w:p>
        </w:tc>
        <w:tc>
          <w:tcPr>
            <w:tcW w:type="dxa" w:w="4932"/>
            <w:tcMar>
              <w:top w:w="60" w:type="dxa"/>
              <w:bottom w:w="60" w:type="dxa"/>
              <w:start w:w="110" w:type="dxa"/>
              <w:end w:w="110" w:type="dxa"/>
            </w:tcMar>
          </w:tcPr>
          <w:p>
            <w:pPr>
              <w:spacing w:after="40" w:before="20"/>
            </w:pPr>
            <w:r>
              <w:rPr>
                <w:rFonts w:ascii="Calibri" w:hAnsi="Calibri"/>
                <w:b w:val="0"/>
                <w:i w:val="0"/>
                <w:color w:val="222A2E"/>
                <w:sz w:val="20"/>
              </w:rPr>
              <w:t>▪  Electrical Hot Work &amp; Commissioning Permit (Energized / Testing)</w:t>
            </w:r>
          </w:p>
        </w:tc>
      </w:tr>
      <w:tr>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20"/>
              </w:rPr>
              <w:t>▪  Electrical Cold Work Permit (Installation / Non-Energized)</w:t>
            </w:r>
          </w:p>
        </w:tc>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20"/>
              </w:rPr>
              <w:t>▪  Energy Isolation (LOTO) Permit</w:t>
            </w:r>
          </w:p>
        </w:tc>
      </w:tr>
      <w:tr>
        <w:tc>
          <w:tcPr>
            <w:tcW w:type="dxa" w:w="4932"/>
            <w:tcMar>
              <w:top w:w="60" w:type="dxa"/>
              <w:bottom w:w="60" w:type="dxa"/>
              <w:start w:w="110" w:type="dxa"/>
              <w:end w:w="110" w:type="dxa"/>
            </w:tcMar>
          </w:tcPr>
          <w:p>
            <w:pPr>
              <w:spacing w:after="40" w:before="20"/>
            </w:pPr>
            <w:r>
              <w:rPr>
                <w:rFonts w:ascii="Calibri" w:hAnsi="Calibri"/>
                <w:b w:val="0"/>
                <w:i w:val="0"/>
                <w:color w:val="222A2E"/>
                <w:sz w:val="20"/>
              </w:rPr>
              <w:t>▪  Excavation &amp; Trenching Permit</w:t>
            </w:r>
          </w:p>
        </w:tc>
        <w:tc>
          <w:tcPr>
            <w:tcW w:type="dxa" w:w="4932"/>
            <w:tcMar>
              <w:top w:w="60" w:type="dxa"/>
              <w:bottom w:w="60" w:type="dxa"/>
              <w:start w:w="110" w:type="dxa"/>
              <w:end w:w="110" w:type="dxa"/>
            </w:tcMar>
          </w:tcPr>
          <w:p>
            <w:pPr>
              <w:spacing w:after="40" w:before="20"/>
            </w:pPr>
            <w:r>
              <w:rPr>
                <w:rFonts w:ascii="Calibri" w:hAnsi="Calibri"/>
                <w:b w:val="0"/>
                <w:i w:val="0"/>
                <w:color w:val="222A2E"/>
                <w:sz w:val="20"/>
              </w:rPr>
              <w:t>▪  Hot Work Permit (Thermal / Welding / Cutting)</w:t>
            </w:r>
          </w:p>
        </w:tc>
      </w:tr>
      <w:tr>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20"/>
              </w:rPr>
            </w:r>
          </w:p>
        </w:tc>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20"/>
              </w:rPr>
              <w:t>▪  Lifting Permit (Cranes &amp; Heavy Rigging)</w:t>
            </w:r>
          </w:p>
        </w:tc>
      </w:tr>
      <w:tr>
        <w:tc>
          <w:tcPr>
            <w:tcW w:type="dxa" w:w="4932"/>
            <w:tcMar>
              <w:top w:w="60" w:type="dxa"/>
              <w:bottom w:w="60" w:type="dxa"/>
              <w:start w:w="110" w:type="dxa"/>
              <w:end w:w="110" w:type="dxa"/>
            </w:tcMar>
          </w:tcPr>
          <w:p>
            <w:pPr>
              <w:spacing w:after="40" w:before="20"/>
            </w:pPr>
            <w:r>
              <w:rPr>
                <w:rFonts w:ascii="Calibri" w:hAnsi="Calibri"/>
                <w:b w:val="0"/>
                <w:i w:val="0"/>
                <w:color w:val="222A2E"/>
                <w:sz w:val="20"/>
              </w:rPr>
            </w:r>
          </w:p>
        </w:tc>
        <w:tc>
          <w:tcPr>
            <w:tcW w:type="dxa" w:w="4932"/>
            <w:tcMar>
              <w:top w:w="60" w:type="dxa"/>
              <w:bottom w:w="60" w:type="dxa"/>
              <w:start w:w="110" w:type="dxa"/>
              <w:end w:w="110" w:type="dxa"/>
            </w:tcMar>
          </w:tcPr>
          <w:p>
            <w:pPr>
              <w:spacing w:after="40" w:before="20"/>
            </w:pPr>
            <w:r>
              <w:rPr>
                <w:rFonts w:ascii="Calibri" w:hAnsi="Calibri"/>
                <w:b w:val="0"/>
                <w:i w:val="0"/>
                <w:color w:val="222A2E"/>
                <w:sz w:val="20"/>
              </w:rPr>
              <w:t>▪  Work at Height Permit (≥ 1.8 m)</w:t>
            </w:r>
          </w:p>
        </w:tc>
      </w:tr>
      <w:tr>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20"/>
              </w:rPr>
            </w:r>
          </w:p>
        </w:tc>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20"/>
              </w:rPr>
              <w:t>▪  Confined Space Entry Permit</w:t>
            </w:r>
          </w:p>
        </w:tc>
      </w:tr>
    </w:tbl>
    <w:p>
      <w:pPr>
        <w:keepNext/>
        <w:spacing w:before="280" w:after="120"/>
        <w:pBdr>
          <w:bottom w:val="single" w:sz="12" w:space="3" w:color="007E8C"/>
        </w:pBdr>
      </w:pPr>
      <w:r>
        <w:rPr>
          <w:rFonts w:ascii="Calibri" w:hAnsi="Calibri"/>
          <w:b/>
          <w:color w:val="003B4A"/>
          <w:sz w:val="25"/>
        </w:rPr>
        <w:t>SECTION 5: PERMIT LIFECYCLE &amp; WORKFLOW PROCEDURES</w:t>
      </w:r>
    </w:p>
    <w:p>
      <w:pPr>
        <w:spacing w:after="80"/>
      </w:pPr>
      <w:r>
        <w:rPr>
          <w:rFonts w:ascii="Calibri" w:hAnsi="Calibri"/>
          <w:color w:val="222A2E"/>
          <w:sz w:val="21"/>
        </w:rPr>
        <w:t>THREE-STEP PERMIT MANAGEMENT WORKFLOW</w:t>
      </w:r>
    </w:p>
    <w:tbl>
      <w:tblPr>
        <w:tblW w:type="auto" w:w="0"/>
        <w:tblLayout w:type="fixed"/>
        <w:tblLook w:firstColumn="1" w:firstRow="1" w:lastColumn="0" w:lastRow="0" w:noHBand="0" w:noVBand="1" w:val="04A0"/>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Layout w:type="fixed"/>
      </w:tblPr>
      <w:tblGrid>
        <w:gridCol w:w="3061"/>
        <w:gridCol w:w="6803"/>
      </w:tblGrid>
      <w:tr>
        <w:tc>
          <w:tcPr>
            <w:tcW w:type="dxa" w:w="3061"/>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20"/>
              </w:rPr>
              <w:t>STEP 1 — Application &amp; Submission (T-24 Hours)</w:t>
            </w:r>
          </w:p>
        </w:tc>
        <w:tc>
          <w:tcPr>
            <w:tcW w:type="dxa" w:w="6803"/>
            <w:tcMar>
              <w:top w:w="60" w:type="dxa"/>
              <w:bottom w:w="60" w:type="dxa"/>
              <w:start w:w="110" w:type="dxa"/>
              <w:end w:w="110" w:type="dxa"/>
            </w:tcMar>
          </w:tcPr>
          <w:p>
            <w:pPr>
              <w:spacing w:after="40" w:before="20"/>
            </w:pPr>
            <w:r>
              <w:rPr>
                <w:rFonts w:ascii="Calibri" w:hAnsi="Calibri"/>
                <w:b w:val="0"/>
                <w:i w:val="0"/>
                <w:color w:val="222A2E"/>
                <w:sz w:val="20"/>
              </w:rPr>
              <w:t>The Permit Holder submits the PTW request along with JSA, Method Statement, and required attachments (e.g., LOTO Isolation Certificate, Mandatory Lifting Plan, Gas Test Log) to EHS at least 24 hours prior to work execution.</w:t>
            </w:r>
          </w:p>
        </w:tc>
      </w:tr>
      <w:tr>
        <w:tc>
          <w:tcPr>
            <w:tcW w:type="dxa" w:w="3061"/>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20"/>
              </w:rPr>
              <w:t>STEP 2 — Joint Field Verification &amp; Issuance</w:t>
            </w:r>
          </w:p>
        </w:tc>
        <w:tc>
          <w:tcPr>
            <w:tcW w:type="dxa" w:w="6803"/>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The Permit Issuer and Permit Holder conduct a physical walk-through of the work site to verify all controls (including zero-energy state verification). Upon satisfaction, both sign the PTW. The original permit is displayed at the work location inside a weatherproof plastic sleeve.</w:t>
            </w:r>
          </w:p>
        </w:tc>
      </w:tr>
      <w:tr>
        <w:tc>
          <w:tcPr>
            <w:tcW w:type="dxa" w:w="3061"/>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20"/>
              </w:rPr>
              <w:t>STEP 3 — Shift Completion &amp; Closure</w:t>
            </w:r>
          </w:p>
        </w:tc>
        <w:tc>
          <w:tcPr>
            <w:tcW w:type="dxa" w:w="6803"/>
            <w:tcMar>
              <w:top w:w="60" w:type="dxa"/>
              <w:bottom w:w="60" w:type="dxa"/>
              <w:start w:w="110" w:type="dxa"/>
              <w:end w:w="110" w:type="dxa"/>
            </w:tcMar>
          </w:tcPr>
          <w:p>
            <w:pPr>
              <w:spacing w:after="40" w:before="20"/>
            </w:pPr>
            <w:r>
              <w:rPr>
                <w:rFonts w:ascii="Calibri" w:hAnsi="Calibri"/>
                <w:b w:val="0"/>
                <w:i w:val="0"/>
                <w:color w:val="222A2E"/>
                <w:sz w:val="20"/>
              </w:rPr>
              <w:t>At shift end (or task completion), the site is cleaned, tools removed, de-isolation executed if authorized, and the Permit Holder &amp; Issuer sign off the permit closure section. Closed permits are archived at the EHS Office. Daily permits expire at the end of the shift and must be re-issued for subsequent shifts.</w:t>
            </w:r>
          </w:p>
        </w:tc>
      </w:tr>
    </w:tbl>
    <w:p>
      <w:pPr>
        <w:keepNext/>
        <w:spacing w:before="280" w:after="120"/>
        <w:pBdr>
          <w:bottom w:val="single" w:sz="12" w:space="3" w:color="007E8C"/>
        </w:pBdr>
      </w:pPr>
      <w:r>
        <w:rPr>
          <w:rFonts w:ascii="Calibri" w:hAnsi="Calibri"/>
          <w:b/>
          <w:color w:val="003B4A"/>
          <w:sz w:val="25"/>
        </w:rPr>
        <w:t>SECTION 5A: PTW / LOTO INTERFACE &amp; SHIFT HANDOVER</w:t>
      </w:r>
    </w:p>
    <w:p>
      <w:pPr>
        <w:spacing w:after="60"/>
        <w:ind w:left="283" w:hanging="283"/>
      </w:pPr>
      <w:r>
        <w:rPr>
          <w:rFonts w:ascii="Calibri" w:hAnsi="Calibri"/>
          <w:b/>
          <w:color w:val="007E8C"/>
          <w:sz w:val="21"/>
        </w:rPr>
        <w:t xml:space="preserve">▪  </w:t>
      </w:r>
      <w:r>
        <w:rPr>
          <w:rFonts w:ascii="Calibri" w:hAnsi="Calibri"/>
          <w:color w:val="222A2E"/>
          <w:sz w:val="21"/>
        </w:rPr>
        <w:t>PTW validity and LOTO validity are managed separately: expiry or renewal of a permit does not remove or release any LOTO isolation. Isolations remain under Isolation Authority control and are removed only through the controlled de-isolation process (LOTO removal / key register).</w:t>
      </w:r>
    </w:p>
    <w:p>
      <w:pPr>
        <w:spacing w:after="60"/>
        <w:ind w:left="283" w:hanging="283"/>
      </w:pPr>
      <w:r>
        <w:rPr>
          <w:rFonts w:ascii="Calibri" w:hAnsi="Calibri"/>
          <w:b/>
          <w:color w:val="007E8C"/>
          <w:sz w:val="21"/>
        </w:rPr>
        <w:t xml:space="preserve">▪  </w:t>
      </w:r>
      <w:r>
        <w:rPr>
          <w:rFonts w:ascii="Calibri" w:hAnsi="Calibri"/>
          <w:color w:val="222A2E"/>
          <w:sz w:val="21"/>
        </w:rPr>
        <w:t>Shift handover requirements: at each shift change, the incoming Permit Issuer/Supervisor, the Permit Holder, and (for energized or isolated works) the Isolation Authority shall jointly re-verify the permit conditions, the isolation status and the zero-energy state. The handover is recorded on the permit/log, and the daily shift endorsement is signed before work resumes.</w:t>
      </w:r>
    </w:p>
    <w:p>
      <w:pPr>
        <w:keepNext/>
        <w:spacing w:before="280" w:after="120"/>
        <w:pBdr>
          <w:bottom w:val="single" w:sz="12" w:space="3" w:color="007E8C"/>
        </w:pBdr>
      </w:pPr>
      <w:r>
        <w:rPr>
          <w:rFonts w:ascii="Calibri" w:hAnsi="Calibri"/>
          <w:b/>
          <w:color w:val="003B4A"/>
          <w:sz w:val="25"/>
        </w:rPr>
        <w:t>SECTION 6: EMERGENCY SUSPENSION &amp; BREACH PENALTIES</w:t>
      </w:r>
    </w:p>
    <w:p>
      <w:pPr>
        <w:spacing w:after="80"/>
      </w:pPr>
      <w:r>
        <w:rPr>
          <w:rFonts w:ascii="Calibri" w:hAnsi="Calibri"/>
          <w:color w:val="222A2E"/>
          <w:sz w:val="21"/>
        </w:rPr>
        <w:t>MANDATORY PERMIT SUSPENSION TRIGGERS</w:t>
      </w:r>
    </w:p>
    <w:p>
      <w:pPr>
        <w:spacing w:after="60"/>
        <w:ind w:left="283" w:hanging="283"/>
      </w:pPr>
      <w:r>
        <w:rPr>
          <w:rFonts w:ascii="Calibri" w:hAnsi="Calibri"/>
          <w:b/>
          <w:color w:val="007E8C"/>
          <w:sz w:val="21"/>
        </w:rPr>
        <w:t xml:space="preserve">▪  </w:t>
      </w:r>
      <w:r>
        <w:rPr>
          <w:rFonts w:ascii="Calibri" w:hAnsi="Calibri"/>
          <w:color w:val="222A2E"/>
          <w:sz w:val="21"/>
        </w:rPr>
        <w:t>Emergency site alarm activation or gas release incident.</w:t>
      </w:r>
    </w:p>
    <w:p>
      <w:pPr>
        <w:spacing w:after="60"/>
        <w:ind w:left="283" w:hanging="283"/>
      </w:pPr>
      <w:r>
        <w:rPr>
          <w:rFonts w:ascii="Calibri" w:hAnsi="Calibri"/>
          <w:b/>
          <w:color w:val="007E8C"/>
          <w:sz w:val="21"/>
        </w:rPr>
        <w:t xml:space="preserve">▪  </w:t>
      </w:r>
      <w:r>
        <w:rPr>
          <w:rFonts w:ascii="Calibri" w:hAnsi="Calibri"/>
          <w:color w:val="222A2E"/>
          <w:sz w:val="21"/>
        </w:rPr>
        <w:t>Unannounced change in weather conditions (e.g., wind speed &gt; 32 km/h during lifting, heavy rain, dust storm).</w:t>
      </w:r>
    </w:p>
    <w:p>
      <w:pPr>
        <w:spacing w:after="60"/>
        <w:ind w:left="283" w:hanging="283"/>
      </w:pPr>
      <w:r>
        <w:rPr>
          <w:rFonts w:ascii="Calibri" w:hAnsi="Calibri"/>
          <w:b/>
          <w:color w:val="007E8C"/>
          <w:sz w:val="21"/>
        </w:rPr>
        <w:t xml:space="preserve">▪  </w:t>
      </w:r>
      <w:r>
        <w:rPr>
          <w:rFonts w:ascii="Calibri" w:hAnsi="Calibri"/>
          <w:color w:val="222A2E"/>
          <w:sz w:val="21"/>
        </w:rPr>
        <w:t>Violation of permit conditions, missing PPE (e.g., Arc Flash suits or LOTO padlocks), or unapproved scope changes (immediate PTW revocation + Stop Work Notice).</w:t>
      </w:r>
    </w:p>
    <w:p>
      <w:pPr>
        <w:keepNext/>
        <w:spacing w:before="280" w:after="120"/>
        <w:pBdr>
          <w:bottom w:val="single" w:sz="12" w:space="3" w:color="007E8C"/>
        </w:pBdr>
      </w:pPr>
      <w:r>
        <w:rPr>
          <w:rFonts w:ascii="Calibri" w:hAnsi="Calibri"/>
          <w:b/>
          <w:color w:val="003B4A"/>
          <w:sz w:val="25"/>
        </w:rPr>
        <w:t>SECTION 7: SIGN-OFF &amp; APPROVAL MATRIX</w:t>
      </w:r>
    </w:p>
    <w:tbl>
      <w:tblPr>
        <w:tblW w:type="auto" w:w="0"/>
        <w:tblLayout w:type="fixed"/>
        <w:tblLook w:firstColumn="1" w:firstRow="1" w:lastColumn="0" w:lastRow="0" w:noHBand="0" w:noVBand="1" w:val="04A0"/>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Layout w:type="fixed"/>
      </w:tblPr>
      <w:tblGrid>
        <w:gridCol w:w="3288"/>
        <w:gridCol w:w="3288"/>
        <w:gridCol w:w="3288"/>
      </w:tblGrid>
      <w:tr>
        <w:tc>
          <w:tcPr>
            <w:tcW w:type="dxa" w:w="3288"/>
            <w:shd w:val="clear" w:color="auto" w:fill="007E8C"/>
            <w:tcMar>
              <w:top w:w="60" w:type="dxa"/>
              <w:bottom w:w="60" w:type="dxa"/>
              <w:start w:w="110" w:type="dxa"/>
              <w:end w:w="110" w:type="dxa"/>
            </w:tcMar>
            <w:vAlign w:val="center"/>
          </w:tcPr>
          <w:p>
            <w:pPr>
              <w:spacing w:after="40" w:before="20"/>
              <w:jc w:val="center"/>
            </w:pPr>
            <w:r>
              <w:rPr>
                <w:rFonts w:ascii="Calibri" w:hAnsi="Calibri"/>
                <w:b/>
                <w:i w:val="0"/>
                <w:color w:val="FFFFFF"/>
                <w:sz w:val="20"/>
              </w:rPr>
              <w:t>PREPARED BY</w:t>
            </w:r>
          </w:p>
        </w:tc>
        <w:tc>
          <w:tcPr>
            <w:tcW w:type="dxa" w:w="3288"/>
            <w:shd w:val="clear" w:color="auto" w:fill="007E8C"/>
            <w:tcMar>
              <w:top w:w="60" w:type="dxa"/>
              <w:bottom w:w="60" w:type="dxa"/>
              <w:start w:w="110" w:type="dxa"/>
              <w:end w:w="110" w:type="dxa"/>
            </w:tcMar>
            <w:vAlign w:val="center"/>
          </w:tcPr>
          <w:p>
            <w:pPr>
              <w:spacing w:after="40" w:before="20"/>
              <w:jc w:val="center"/>
            </w:pPr>
            <w:r>
              <w:rPr>
                <w:rFonts w:ascii="Calibri" w:hAnsi="Calibri"/>
                <w:b/>
                <w:i w:val="0"/>
                <w:color w:val="FFFFFF"/>
                <w:sz w:val="20"/>
              </w:rPr>
              <w:t>REVIEWED BY</w:t>
            </w:r>
          </w:p>
        </w:tc>
        <w:tc>
          <w:tcPr>
            <w:tcW w:type="dxa" w:w="3288"/>
            <w:shd w:val="clear" w:color="auto" w:fill="007E8C"/>
            <w:tcMar>
              <w:top w:w="60" w:type="dxa"/>
              <w:bottom w:w="60" w:type="dxa"/>
              <w:start w:w="110" w:type="dxa"/>
              <w:end w:w="110" w:type="dxa"/>
            </w:tcMar>
            <w:vAlign w:val="center"/>
          </w:tcPr>
          <w:p>
            <w:pPr>
              <w:spacing w:after="40" w:before="20"/>
              <w:jc w:val="center"/>
            </w:pPr>
            <w:r>
              <w:rPr>
                <w:rFonts w:ascii="Calibri" w:hAnsi="Calibri"/>
                <w:b/>
                <w:i w:val="0"/>
                <w:color w:val="FFFFFF"/>
                <w:sz w:val="20"/>
              </w:rPr>
              <w:t>APPROVED BY</w:t>
            </w:r>
          </w:p>
        </w:tc>
      </w:tr>
      <w:tr>
        <w:tc>
          <w:tcPr>
            <w:tcW w:type="dxa" w:w="3288"/>
            <w:tcMar>
              <w:top w:w="60" w:type="dxa"/>
              <w:bottom w:w="60" w:type="dxa"/>
              <w:start w:w="110" w:type="dxa"/>
              <w:end w:w="110" w:type="dxa"/>
            </w:tcMar>
            <w:vAlign w:val="center"/>
          </w:tcPr>
          <w:p>
            <w:pPr>
              <w:spacing w:after="40" w:before="20"/>
            </w:pPr>
            <w:r>
              <w:rPr>
                <w:rFonts w:ascii="Calibri" w:hAnsi="Calibri"/>
                <w:b w:val="0"/>
                <w:i w:val="0"/>
                <w:color w:val="222A2E"/>
                <w:sz w:val="19"/>
              </w:rPr>
              <w:t>Name: Ahmed Mansoor Hashim Kazem</w:t>
            </w:r>
          </w:p>
          <w:p>
            <w:pPr>
              <w:spacing w:after="40" w:before="0"/>
            </w:pPr>
            <w:r>
              <w:rPr>
                <w:rFonts w:ascii="Calibri" w:hAnsi="Calibri"/>
                <w:b/>
                <w:i w:val="0"/>
                <w:color w:val="222A2E"/>
                <w:sz w:val="19"/>
              </w:rPr>
              <w:t>Role: EHS Manager (Siemens Energy)</w:t>
            </w:r>
          </w:p>
          <w:p>
            <w:pPr>
              <w:spacing w:after="40" w:before="0"/>
            </w:pPr>
            <w:r>
              <w:rPr>
                <w:rFonts w:ascii="Calibri" w:hAnsi="Calibri"/>
                <w:b/>
                <w:i w:val="0"/>
                <w:color w:val="222A2E"/>
                <w:sz w:val="19"/>
              </w:rPr>
              <w:t>Status: Prepared</w:t>
            </w:r>
          </w:p>
          <w:p>
            <w:pPr>
              <w:spacing w:after="40" w:before="0"/>
            </w:pPr>
            <w:r>
              <w:rPr>
                <w:rFonts w:ascii="Calibri" w:hAnsi="Calibri"/>
                <w:b w:val="0"/>
                <w:i w:val="0"/>
                <w:color w:val="222A2E"/>
                <w:sz w:val="19"/>
              </w:rPr>
              <w:t>Date: 06 / 09 / 2026</w:t>
            </w:r>
          </w:p>
        </w:tc>
        <w:tc>
          <w:tcPr>
            <w:tcW w:type="dxa" w:w="3288"/>
            <w:tcMar>
              <w:top w:w="60" w:type="dxa"/>
              <w:bottom w:w="60" w:type="dxa"/>
              <w:start w:w="110" w:type="dxa"/>
              <w:end w:w="110" w:type="dxa"/>
            </w:tcMar>
            <w:vAlign w:val="center"/>
          </w:tcPr>
          <w:p>
            <w:pPr>
              <w:spacing w:after="40" w:before="20"/>
            </w:pPr>
            <w:r>
              <w:rPr>
                <w:rFonts w:ascii="Calibri" w:hAnsi="Calibri"/>
                <w:b w:val="0"/>
                <w:i w:val="0"/>
                <w:color w:val="222A2E"/>
                <w:sz w:val="19"/>
              </w:rPr>
              <w:t>Name: Dogukan Arandi</w:t>
            </w:r>
          </w:p>
          <w:p>
            <w:pPr>
              <w:spacing w:after="40" w:before="0"/>
            </w:pPr>
            <w:r>
              <w:rPr>
                <w:rFonts w:ascii="Calibri" w:hAnsi="Calibri"/>
                <w:b/>
                <w:i w:val="0"/>
                <w:color w:val="222A2E"/>
                <w:sz w:val="19"/>
              </w:rPr>
              <w:t>Role: EHS / Site EHS Lead (Reviewer)</w:t>
            </w:r>
          </w:p>
          <w:p>
            <w:pPr>
              <w:spacing w:after="40" w:before="0"/>
            </w:pPr>
            <w:r>
              <w:rPr>
                <w:rFonts w:ascii="Calibri" w:hAnsi="Calibri"/>
                <w:b/>
                <w:i w:val="0"/>
                <w:color w:val="222A2E"/>
                <w:sz w:val="19"/>
              </w:rPr>
              <w:t>Company: Siemens Energy</w:t>
            </w:r>
          </w:p>
          <w:p>
            <w:pPr>
              <w:spacing w:after="40" w:before="0"/>
            </w:pPr>
            <w:r>
              <w:rPr>
                <w:rFonts w:ascii="Calibri" w:hAnsi="Calibri"/>
                <w:b/>
                <w:i w:val="0"/>
                <w:color w:val="222A2E"/>
                <w:sz w:val="19"/>
              </w:rPr>
              <w:t>Status: Under Review</w:t>
            </w:r>
          </w:p>
          <w:p>
            <w:pPr>
              <w:spacing w:after="40" w:before="0"/>
            </w:pPr>
            <w:r>
              <w:rPr>
                <w:rFonts w:ascii="Calibri" w:hAnsi="Calibri"/>
                <w:b w:val="0"/>
                <w:i w:val="0"/>
                <w:color w:val="222A2E"/>
                <w:sz w:val="19"/>
              </w:rPr>
              <w:t>Date: ___ / ___ / 2026</w:t>
            </w:r>
          </w:p>
        </w:tc>
        <w:tc>
          <w:tcPr>
            <w:tcW w:type="dxa" w:w="3288"/>
            <w:tcMar>
              <w:top w:w="60" w:type="dxa"/>
              <w:bottom w:w="60" w:type="dxa"/>
              <w:start w:w="110" w:type="dxa"/>
              <w:end w:w="110" w:type="dxa"/>
            </w:tcMar>
            <w:vAlign w:val="center"/>
          </w:tcPr>
          <w:p>
            <w:pPr>
              <w:spacing w:after="40" w:before="20"/>
            </w:pPr>
            <w:r>
              <w:rPr>
                <w:rFonts w:ascii="Calibri" w:hAnsi="Calibri"/>
                <w:b w:val="0"/>
                <w:i w:val="0"/>
                <w:color w:val="222A2E"/>
                <w:sz w:val="19"/>
              </w:rPr>
              <w:t>Name: Onur Ozvatan</w:t>
            </w:r>
          </w:p>
          <w:p>
            <w:pPr>
              <w:spacing w:after="40" w:before="0"/>
            </w:pPr>
            <w:r>
              <w:rPr>
                <w:rFonts w:ascii="Calibri" w:hAnsi="Calibri"/>
                <w:b/>
                <w:i w:val="0"/>
                <w:color w:val="222A2E"/>
                <w:sz w:val="19"/>
              </w:rPr>
              <w:t>Role: Project Manager</w:t>
            </w:r>
          </w:p>
          <w:p>
            <w:pPr>
              <w:spacing w:after="40" w:before="0"/>
            </w:pPr>
            <w:r>
              <w:rPr>
                <w:rFonts w:ascii="Calibri" w:hAnsi="Calibri"/>
                <w:b/>
                <w:i w:val="0"/>
                <w:color w:val="222A2E"/>
                <w:sz w:val="19"/>
              </w:rPr>
              <w:t>Company: Siemens Energy</w:t>
            </w:r>
          </w:p>
          <w:p>
            <w:pPr>
              <w:spacing w:after="40" w:before="0"/>
            </w:pPr>
            <w:r>
              <w:rPr>
                <w:rFonts w:ascii="Calibri" w:hAnsi="Calibri"/>
                <w:b/>
                <w:i w:val="0"/>
                <w:color w:val="222A2E"/>
                <w:sz w:val="19"/>
              </w:rPr>
              <w:t>Status: For Approval (Pending Final Review)</w:t>
            </w:r>
          </w:p>
          <w:p>
            <w:pPr>
              <w:spacing w:after="40" w:before="0"/>
            </w:pPr>
            <w:r>
              <w:rPr>
                <w:rFonts w:ascii="Calibri" w:hAnsi="Calibri"/>
                <w:b w:val="0"/>
                <w:i w:val="0"/>
                <w:color w:val="222A2E"/>
                <w:sz w:val="19"/>
              </w:rPr>
              <w:t>Date: ___ / ___ / 2026</w:t>
            </w:r>
          </w:p>
        </w:tc>
      </w:tr>
    </w:tbl>
    <w:p>
      <w:pPr>
        <w:keepNext/>
        <w:spacing w:before="280" w:after="120"/>
        <w:pBdr>
          <w:bottom w:val="single" w:sz="12" w:space="3" w:color="007E8C"/>
        </w:pBdr>
      </w:pPr>
      <w:r>
        <w:rPr>
          <w:rFonts w:ascii="Calibri" w:hAnsi="Calibri"/>
          <w:b/>
          <w:color w:val="003B4A"/>
          <w:sz w:val="25"/>
        </w:rPr>
        <w:t>SECTION 8: REFERENCES &amp; TECHNICAL LIMIT SOURCES</w:t>
      </w:r>
    </w:p>
    <w:p>
      <w:pPr>
        <w:spacing w:after="80"/>
      </w:pPr>
      <w:r>
        <w:rPr>
          <w:rFonts w:ascii="Calibri" w:hAnsi="Calibri"/>
          <w:color w:val="222A2E"/>
          <w:sz w:val="21"/>
        </w:rPr>
        <w:t>The following references govern the technical limits used in this procedure:</w:t>
      </w:r>
    </w:p>
    <w:p>
      <w:pPr>
        <w:spacing w:after="60"/>
        <w:ind w:left="283" w:hanging="283"/>
      </w:pPr>
      <w:r>
        <w:rPr>
          <w:rFonts w:ascii="Calibri" w:hAnsi="Calibri"/>
          <w:b/>
          <w:color w:val="007E8C"/>
          <w:sz w:val="21"/>
        </w:rPr>
        <w:t xml:space="preserve">▪  </w:t>
      </w:r>
      <w:r>
        <w:rPr>
          <w:rFonts w:ascii="Calibri" w:hAnsi="Calibri"/>
          <w:color w:val="222A2E"/>
          <w:sz w:val="21"/>
        </w:rPr>
        <w:t>Iraqi Labour Law No. 37 of 2015 — occupational safety requirements applicable in Iraq.</w:t>
      </w:r>
    </w:p>
    <w:p>
      <w:pPr>
        <w:spacing w:after="60"/>
        <w:ind w:left="283" w:hanging="283"/>
      </w:pPr>
      <w:r>
        <w:rPr>
          <w:rFonts w:ascii="Calibri" w:hAnsi="Calibri"/>
          <w:b/>
          <w:color w:val="007E8C"/>
          <w:sz w:val="21"/>
        </w:rPr>
        <w:t xml:space="preserve">▪  </w:t>
      </w:r>
      <w:r>
        <w:rPr>
          <w:rFonts w:ascii="Calibri" w:hAnsi="Calibri"/>
          <w:color w:val="222A2E"/>
          <w:sz w:val="21"/>
        </w:rPr>
        <w:t>OSHA 29 CFR 1926 Subpart M — fall protection (work-at-height threshold ≥ 1.8 m).</w:t>
      </w:r>
    </w:p>
    <w:p>
      <w:pPr>
        <w:spacing w:after="60"/>
        <w:ind w:left="283" w:hanging="283"/>
      </w:pPr>
      <w:r>
        <w:rPr>
          <w:rFonts w:ascii="Calibri" w:hAnsi="Calibri"/>
          <w:b/>
          <w:color w:val="007E8C"/>
          <w:sz w:val="21"/>
        </w:rPr>
        <w:t xml:space="preserve">▪  </w:t>
      </w:r>
      <w:r>
        <w:rPr>
          <w:rFonts w:ascii="Calibri" w:hAnsi="Calibri"/>
          <w:color w:val="222A2E"/>
          <w:sz w:val="21"/>
        </w:rPr>
        <w:t>OSHA 29 CFR 1926 Subpart P — excavations &amp; trenching (protective systems for excavations &gt; 1.2 m; spoil setback).</w:t>
      </w:r>
    </w:p>
    <w:p>
      <w:pPr>
        <w:spacing w:after="60"/>
        <w:ind w:left="283" w:hanging="283"/>
      </w:pPr>
      <w:r>
        <w:rPr>
          <w:rFonts w:ascii="Calibri" w:hAnsi="Calibri"/>
          <w:b/>
          <w:color w:val="007E8C"/>
          <w:sz w:val="21"/>
        </w:rPr>
        <w:t xml:space="preserve">▪  </w:t>
      </w:r>
      <w:r>
        <w:rPr>
          <w:rFonts w:ascii="Calibri" w:hAnsi="Calibri"/>
          <w:color w:val="222A2E"/>
          <w:sz w:val="21"/>
        </w:rPr>
        <w:t>OSHA 29 CFR 1910 / 1926 — general industry &amp; construction safety (hot work, LOTO, confined space).</w:t>
      </w:r>
    </w:p>
    <w:p>
      <w:pPr>
        <w:spacing w:after="60"/>
        <w:ind w:left="283" w:hanging="283"/>
      </w:pPr>
      <w:r>
        <w:rPr>
          <w:rFonts w:ascii="Calibri" w:hAnsi="Calibri"/>
          <w:b/>
          <w:color w:val="007E8C"/>
          <w:sz w:val="21"/>
        </w:rPr>
        <w:t xml:space="preserve">▪  </w:t>
      </w:r>
      <w:r>
        <w:rPr>
          <w:rFonts w:ascii="Calibri" w:hAnsi="Calibri"/>
          <w:color w:val="222A2E"/>
          <w:sz w:val="21"/>
        </w:rPr>
        <w:t>NFPA 70E — electrical safety in the workplace (energized work, Arc Flash boundaries and PPE categories).</w:t>
      </w:r>
    </w:p>
    <w:p>
      <w:pPr>
        <w:spacing w:after="60"/>
        <w:ind w:left="283" w:hanging="283"/>
      </w:pPr>
      <w:r>
        <w:rPr>
          <w:rFonts w:ascii="Calibri" w:hAnsi="Calibri"/>
          <w:b/>
          <w:color w:val="007E8C"/>
          <w:sz w:val="21"/>
        </w:rPr>
        <w:t xml:space="preserve">▪  </w:t>
      </w:r>
      <w:r>
        <w:rPr>
          <w:rFonts w:ascii="Calibri" w:hAnsi="Calibri"/>
          <w:color w:val="222A2E"/>
          <w:sz w:val="21"/>
        </w:rPr>
        <w:t>Crane manufacturer requirements and OSHA 29 CFR 1926.1400 — lifting operations and wind limits (no lifts in winds &gt; 32 km/h).</w:t>
      </w:r>
    </w:p>
    <w:p>
      <w:pPr>
        <w:spacing w:after="60"/>
        <w:ind w:left="283" w:hanging="283"/>
      </w:pPr>
      <w:r>
        <w:rPr>
          <w:rFonts w:ascii="Calibri" w:hAnsi="Calibri"/>
          <w:b/>
          <w:color w:val="007E8C"/>
          <w:sz w:val="21"/>
        </w:rPr>
        <w:t xml:space="preserve">▪  </w:t>
      </w:r>
      <w:r>
        <w:rPr>
          <w:rFonts w:ascii="Calibri" w:hAnsi="Calibri"/>
          <w:color w:val="222A2E"/>
          <w:sz w:val="21"/>
        </w:rPr>
        <w:t>Siemens Energy Global PTW Standard Framework and client (MOE/BGC) site EHS requirements.</w:t>
      </w:r>
    </w:p>
    <w:p>
      <w:pPr>
        <w:spacing w:after="60"/>
        <w:ind w:left="283" w:hanging="283"/>
      </w:pPr>
      <w:r>
        <w:rPr>
          <w:rFonts w:ascii="Calibri" w:hAnsi="Calibri"/>
          <w:b/>
          <w:color w:val="007E8C"/>
          <w:sz w:val="21"/>
        </w:rPr>
        <w:t xml:space="preserve">▪  </w:t>
      </w:r>
      <w:r>
        <w:rPr>
          <w:rFonts w:ascii="Calibri" w:hAnsi="Calibri"/>
          <w:color w:val="222A2E"/>
          <w:sz w:val="21"/>
        </w:rPr>
        <w:t>Where numerical limits (e.g., wind speed 32 km/h, work at height ≥ 1.8 m, excavation depths 30 cm / 1.2 m) differ between standards or client requirements, the more stringent requirement shall apply.</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469"/>
        <w:sz w:val="16"/>
      </w:rPr>
      <w:t xml:space="preserve">KAZ-EHS-SOP-2026-003  •  Rev. 1  •  Siemens Energy – KAZ Power Plant Upgrade  •  Page </w:t>
    </w:r>
    <w:r>
      <w:rPr>
        <w:rFonts w:ascii="Calibri" w:hAnsi="Calibri"/>
        <w:color w:val="5A646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22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Permit to Work (PTW) System – Standard Operating Procedure</dc:title>
  <dc:subject>KAZ Power Plant Upgrade Project – Basra, Iraq</dc:subject>
  <dc:creator>Ahmed Mansoor Hashim Kazem (EHS Manager)</dc:creator>
  <cp:keywords>PTW, Permit to Work, EHS, LOTO, KAZ, Siemens Energy</cp:keywords>
  <dc:description>generated by python-docx</dc:description>
  <cp:lastModifiedBy/>
  <cp:revision>1</cp:revision>
  <dcterms:created xsi:type="dcterms:W3CDTF">2013-12-23T23:15:00Z</dcterms:created>
  <dcterms:modified xsi:type="dcterms:W3CDTF">2013-12-23T23:15:00Z</dcterms:modified>
  <cp:category/>
</cp:coreProperties>
</file>