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Pr>
      <w:tblGrid>
        <w:gridCol w:w="9864"/>
      </w:tblGrid>
      <w:tr>
        <w:tc>
          <w:tcPr>
            <w:tcW w:type="dxa" w:w="9865"/>
            <w:shd w:val="clear" w:color="auto" w:fill="003B4A"/>
            <w:tcMar>
              <w:top w:w="260" w:type="dxa"/>
              <w:bottom w:w="260" w:type="dxa"/>
              <w:start w:w="280" w:type="dxa"/>
              <w:end w:w="280" w:type="dxa"/>
            </w:tcMar>
          </w:tcPr>
          <w:p>
            <w:pPr>
              <w:spacing w:after="40"/>
              <w:jc w:val="center"/>
            </w:pPr>
            <w:r>
              <w:rPr>
                <w:rFonts w:ascii="Calibri" w:hAnsi="Calibri"/>
                <w:b/>
                <w:color w:val="FFFFFF"/>
                <w:sz w:val="38"/>
              </w:rPr>
              <w:t>ENVIRONMENTAL &amp; WASTE MANAGEMENT</w:t>
            </w:r>
          </w:p>
          <w:p>
            <w:pPr>
              <w:spacing w:after="160"/>
              <w:jc w:val="center"/>
            </w:pPr>
            <w:r>
              <w:rPr>
                <w:rFonts w:ascii="Calibri" w:hAnsi="Calibri"/>
                <w:b/>
                <w:color w:val="00B5E2"/>
                <w:sz w:val="24"/>
              </w:rPr>
              <w:t>OPERATIONAL MANUAL</w:t>
            </w:r>
          </w:p>
          <w:p>
            <w:pPr>
              <w:spacing w:after="80"/>
              <w:jc w:val="center"/>
            </w:pPr>
            <w:r>
              <w:rPr>
                <w:rFonts w:ascii="Calibri" w:hAnsi="Calibri"/>
                <w:color w:val="FFFFFF"/>
                <w:sz w:val="22"/>
              </w:rPr>
              <w:t>KAZ Power Plant Upgrade Project — Basra, Iraq</w:t>
            </w:r>
          </w:p>
          <w:p>
            <w:pPr>
              <w:jc w:val="center"/>
            </w:pPr>
            <w:r>
              <w:rPr>
                <w:rFonts w:ascii="Calibri" w:hAnsi="Calibri"/>
                <w:color w:val="CFE7EB"/>
                <w:sz w:val="18"/>
              </w:rPr>
              <w:t>Document ID: KAZ-EHS-MAN-2026-002-RE   •   Revision: 1   •   Status: DRAFT FOR REVIEW (Issued for Review – Pending Final Approval)</w:t>
            </w:r>
          </w:p>
        </w:tc>
      </w:tr>
    </w:tbl>
    <w:p>
      <w:pPr>
        <w:spacing w:after="40"/>
      </w:pPr>
    </w:p>
    <w:p>
      <w:pPr>
        <w:keepNext/>
        <w:spacing w:before="260" w:after="120"/>
        <w:pBdr>
          <w:bottom w:val="single" w:sz="12" w:space="3" w:color="007E8C"/>
        </w:pBdr>
      </w:pPr>
      <w:r>
        <w:rPr>
          <w:rFonts w:ascii="Calibri" w:hAnsi="Calibri"/>
          <w:b/>
          <w:color w:val="003B4A"/>
          <w:sz w:val="25"/>
        </w:rPr>
        <w:t>SECTION 0: DOCUMENT CONTROL</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834"/>
        <w:gridCol w:w="7029"/>
      </w:tblGrid>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Project Name &amp; Location</w:t>
            </w:r>
          </w:p>
        </w:tc>
        <w:tc>
          <w:tcPr>
            <w:tcW w:type="dxa" w:w="7030"/>
            <w:tcMar>
              <w:top w:w="60" w:type="dxa"/>
              <w:bottom w:w="60" w:type="dxa"/>
              <w:start w:w="110" w:type="dxa"/>
              <w:end w:w="110" w:type="dxa"/>
            </w:tcMar>
          </w:tcPr>
          <w:p>
            <w:pPr>
              <w:spacing w:after="40" w:before="20"/>
            </w:pPr>
            <w:r>
              <w:rPr>
                <w:rFonts w:ascii="Calibri" w:hAnsi="Calibri"/>
                <w:b w:val="0"/>
                <w:i w:val="0"/>
                <w:color w:val="222A2E"/>
                <w:sz w:val="20"/>
              </w:rPr>
              <w:t>KAZ Power Plant Upgrade Project (Basra, Iraq)</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Owner / Beneficiary</w:t>
            </w:r>
          </w:p>
        </w:tc>
        <w:tc>
          <w:tcPr>
            <w:tcW w:type="dxa" w:w="703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Ministry of Electricity (MOE) &amp; Basrah Gas Company (BGC)</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Main Contractor</w:t>
            </w:r>
          </w:p>
        </w:tc>
        <w:tc>
          <w:tcPr>
            <w:tcW w:type="dxa" w:w="7030"/>
            <w:tcMar>
              <w:top w:w="60" w:type="dxa"/>
              <w:bottom w:w="60" w:type="dxa"/>
              <w:start w:w="110" w:type="dxa"/>
              <w:end w:w="110" w:type="dxa"/>
            </w:tcMar>
          </w:tcPr>
          <w:p>
            <w:pPr>
              <w:spacing w:after="40" w:before="20"/>
            </w:pPr>
            <w:r>
              <w:rPr>
                <w:rFonts w:ascii="Calibri" w:hAnsi="Calibri"/>
                <w:b w:val="0"/>
                <w:i w:val="0"/>
                <w:color w:val="222A2E"/>
                <w:sz w:val="20"/>
              </w:rPr>
              <w:t>Siemens Energy</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Document Author</w:t>
            </w:r>
          </w:p>
        </w:tc>
        <w:tc>
          <w:tcPr>
            <w:tcW w:type="dxa" w:w="703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Ahmed Mansoor (EHS Manager, NEBOSH IGC Certified)</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Applicable Regulatory Framework</w:t>
            </w:r>
          </w:p>
        </w:tc>
        <w:tc>
          <w:tcPr>
            <w:tcW w:type="dxa" w:w="7030"/>
            <w:tcMar>
              <w:top w:w="60" w:type="dxa"/>
              <w:bottom w:w="60" w:type="dxa"/>
              <w:start w:w="110" w:type="dxa"/>
              <w:end w:w="110" w:type="dxa"/>
            </w:tcMar>
          </w:tcPr>
          <w:p>
            <w:pPr>
              <w:spacing w:after="40" w:before="20"/>
            </w:pPr>
            <w:r>
              <w:rPr>
                <w:rFonts w:ascii="Calibri" w:hAnsi="Calibri"/>
                <w:b w:val="0"/>
                <w:i w:val="0"/>
                <w:color w:val="222A2E"/>
                <w:sz w:val="20"/>
              </w:rPr>
              <w:t>Iraqi Environmental Law No. 27 (2009) • MOE Project EHS Guidelines • WHO Potable Water Criteria • Siemens Energy Global EHS Standards</w:t>
            </w:r>
          </w:p>
        </w:tc>
      </w:tr>
      <w:tr>
        <w:tc>
          <w:tcPr>
            <w:tcW w:type="dxa" w:w="2835"/>
            <w:shd w:val="clear" w:color="auto" w:fill="DCEFF1"/>
            <w:tcMar>
              <w:top w:w="60" w:type="dxa"/>
              <w:bottom w:w="60" w:type="dxa"/>
              <w:start w:w="110" w:type="dxa"/>
              <w:end w:w="110" w:type="dxa"/>
            </w:tcMar>
          </w:tcPr>
          <w:p>
            <w:pPr>
              <w:spacing w:after="40" w:before="20"/>
            </w:pPr>
            <w:r>
              <w:rPr>
                <w:rFonts w:ascii="Calibri" w:hAnsi="Calibri"/>
                <w:b/>
                <w:i w:val="0"/>
                <w:color w:val="003B4A"/>
                <w:sz w:val="20"/>
              </w:rPr>
              <w:t>Technical-Limit References</w:t>
            </w:r>
          </w:p>
        </w:tc>
        <w:tc>
          <w:tcPr>
            <w:tcW w:type="dxa" w:w="703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WHO Guidelines for Drinking-water Quality &amp; Iraqi Environmental Law No. 27 (2009) for water; WHO Environmental Noise Guidelines for noise; WHO Global Air Quality Guidelines (2021) for particulate matter; OSHA 29 CFR 1910.146 &amp; ACGIH TLV for gas thresholds (see Section 9).</w:t>
            </w:r>
          </w:p>
        </w:tc>
      </w:tr>
    </w:tbl>
    <w:p>
      <w:pPr>
        <w:keepNext/>
        <w:spacing w:before="260" w:after="120"/>
        <w:pBdr>
          <w:bottom w:val="single" w:sz="12" w:space="3" w:color="007E8C"/>
        </w:pBdr>
      </w:pPr>
      <w:r>
        <w:rPr>
          <w:rFonts w:ascii="Calibri" w:hAnsi="Calibri"/>
          <w:b/>
          <w:color w:val="003B4A"/>
          <w:sz w:val="25"/>
        </w:rPr>
        <w:t>SECTION 1: PURPOSE, SCOPE &amp; RESPONSIBILITY MATRIX</w:t>
      </w:r>
    </w:p>
    <w:p>
      <w:pPr>
        <w:keepNext/>
        <w:spacing w:before="160" w:after="80"/>
      </w:pPr>
      <w:r>
        <w:rPr>
          <w:rFonts w:ascii="Calibri" w:hAnsi="Calibri"/>
          <w:b/>
          <w:color w:val="007E8C"/>
          <w:sz w:val="22"/>
        </w:rPr>
        <w:t>1.1 Purpose</w:t>
      </w:r>
    </w:p>
    <w:p>
      <w:pPr>
        <w:spacing w:after="80"/>
      </w:pPr>
      <w:r>
        <w:rPr>
          <w:rFonts w:ascii="Calibri" w:hAnsi="Calibri"/>
          <w:color w:val="222A2E"/>
          <w:sz w:val="21"/>
        </w:rPr>
        <w:t>This Manual provides exhaustive, step-by-step operational protocols for material handling, chemical isolation, environmental quality testing, noise and atmospheric control, sewage management, emergency spill response, and waste tracking for the KAZ Power Plant Upgrade Project. Compliance is mandatory across all project phases for all Siemens Energy personnel, subcontractors, suppliers, and visitors.</w:t>
      </w:r>
    </w:p>
    <w:p>
      <w:pPr>
        <w:keepNext/>
        <w:spacing w:before="160" w:after="80"/>
      </w:pPr>
      <w:r>
        <w:rPr>
          <w:rFonts w:ascii="Calibri" w:hAnsi="Calibri"/>
          <w:b/>
          <w:color w:val="007E8C"/>
          <w:sz w:val="22"/>
        </w:rPr>
        <w:t>1.2 Roles &amp; Responsibility Breakdown</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607"/>
        <w:gridCol w:w="7256"/>
      </w:tblGrid>
      <w:tr>
        <w:tc>
          <w:tcPr>
            <w:tcW w:type="dxa" w:w="2608"/>
            <w:shd w:val="clear" w:color="auto" w:fill="007E8C"/>
            <w:tcMar>
              <w:top w:w="60" w:type="dxa"/>
              <w:bottom w:w="60" w:type="dxa"/>
              <w:start w:w="110" w:type="dxa"/>
              <w:end w:w="110" w:type="dxa"/>
            </w:tcMar>
          </w:tcPr>
          <w:p>
            <w:pPr>
              <w:spacing w:after="40" w:before="20"/>
            </w:pPr>
            <w:r>
              <w:rPr>
                <w:rFonts w:ascii="Calibri" w:hAnsi="Calibri"/>
                <w:b/>
                <w:i w:val="0"/>
                <w:color w:val="FFFFFF"/>
                <w:sz w:val="20"/>
              </w:rPr>
              <w:t>Role</w:t>
            </w:r>
          </w:p>
        </w:tc>
        <w:tc>
          <w:tcPr>
            <w:tcW w:type="dxa" w:w="7257"/>
            <w:shd w:val="clear" w:color="auto" w:fill="007E8C"/>
            <w:tcMar>
              <w:top w:w="60" w:type="dxa"/>
              <w:bottom w:w="60" w:type="dxa"/>
              <w:start w:w="110" w:type="dxa"/>
              <w:end w:w="110" w:type="dxa"/>
            </w:tcMar>
          </w:tcPr>
          <w:p>
            <w:pPr>
              <w:spacing w:after="40" w:before="20"/>
            </w:pPr>
            <w:r>
              <w:rPr>
                <w:rFonts w:ascii="Calibri" w:hAnsi="Calibri"/>
                <w:b/>
                <w:i w:val="0"/>
                <w:color w:val="FFFFFF"/>
                <w:sz w:val="20"/>
              </w:rPr>
              <w:t>Specific Environmental &amp; Material Operational Responsibilities</w:t>
            </w:r>
          </w:p>
        </w:tc>
      </w:tr>
      <w:tr>
        <w:tc>
          <w:tcPr>
            <w:tcW w:type="dxa" w:w="2608"/>
            <w:tcMar>
              <w:top w:w="60" w:type="dxa"/>
              <w:bottom w:w="60" w:type="dxa"/>
              <w:start w:w="110" w:type="dxa"/>
              <w:end w:w="110" w:type="dxa"/>
            </w:tcMar>
            <w:vAlign w:val="center"/>
          </w:tcPr>
          <w:p>
            <w:pPr>
              <w:spacing w:after="40" w:before="20"/>
            </w:pPr>
            <w:r>
              <w:rPr>
                <w:rFonts w:ascii="Calibri" w:hAnsi="Calibri"/>
                <w:b/>
                <w:i w:val="0"/>
                <w:color w:val="003B4A"/>
                <w:sz w:val="20"/>
              </w:rPr>
              <w:t>EHS Manager (Ahmed Mansoor)</w:t>
            </w:r>
          </w:p>
        </w:tc>
        <w:tc>
          <w:tcPr>
            <w:tcW w:type="dxa" w:w="7257"/>
            <w:tcMar>
              <w:top w:w="60" w:type="dxa"/>
              <w:bottom w:w="60" w:type="dxa"/>
              <w:start w:w="110" w:type="dxa"/>
              <w:end w:w="110" w:type="dxa"/>
            </w:tcMar>
          </w:tcPr>
          <w:p>
            <w:pPr>
              <w:spacing w:after="40" w:before="20"/>
            </w:pPr>
            <w:r>
              <w:rPr>
                <w:rFonts w:ascii="Calibri" w:hAnsi="Calibri"/>
                <w:b w:val="0"/>
                <w:i w:val="0"/>
                <w:color w:val="222A2E"/>
                <w:sz w:val="20"/>
              </w:rPr>
              <w:t>Overall governance, regulatory compliance with MOE and Ministry of Environment, approval of third-party monitoring labs, auditing waste manifests, leading tier-2 spill responses, and issuing stop-work notices for environmental breaches.</w:t>
            </w:r>
          </w:p>
        </w:tc>
      </w:tr>
      <w:tr>
        <w:tc>
          <w:tcPr>
            <w:tcW w:type="dxa" w:w="2608"/>
            <w:tcMar>
              <w:top w:w="60" w:type="dxa"/>
              <w:bottom w:w="60" w:type="dxa"/>
              <w:start w:w="110" w:type="dxa"/>
              <w:end w:w="110" w:type="dxa"/>
            </w:tcMar>
            <w:vAlign w:val="center"/>
            <w:shd w:val="clear" w:color="auto" w:fill="EAF4F5"/>
          </w:tcPr>
          <w:p>
            <w:pPr>
              <w:spacing w:after="40" w:before="20"/>
            </w:pPr>
            <w:r>
              <w:rPr>
                <w:rFonts w:ascii="Calibri" w:hAnsi="Calibri"/>
                <w:b/>
                <w:i w:val="0"/>
                <w:color w:val="003B4A"/>
                <w:sz w:val="20"/>
              </w:rPr>
              <w:t>Site EHS Officers / Supervisors</w:t>
            </w:r>
          </w:p>
        </w:tc>
        <w:tc>
          <w:tcPr>
            <w:tcW w:type="dxa" w:w="7257"/>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Daily field inspections of chemical bunds, verifying MSDS postings, performing gas testing prior to excavation/entry, overseeing weekly water sampling, enforcing spill kit inspections, and auditing waste yards.</w:t>
            </w:r>
          </w:p>
        </w:tc>
      </w:tr>
      <w:tr>
        <w:tc>
          <w:tcPr>
            <w:tcW w:type="dxa" w:w="2608"/>
            <w:tcMar>
              <w:top w:w="60" w:type="dxa"/>
              <w:bottom w:w="60" w:type="dxa"/>
              <w:start w:w="110" w:type="dxa"/>
              <w:end w:w="110" w:type="dxa"/>
            </w:tcMar>
            <w:vAlign w:val="center"/>
          </w:tcPr>
          <w:p>
            <w:pPr>
              <w:spacing w:after="40" w:before="20"/>
            </w:pPr>
            <w:r>
              <w:rPr>
                <w:rFonts w:ascii="Calibri" w:hAnsi="Calibri"/>
                <w:b/>
                <w:i w:val="0"/>
                <w:color w:val="003B4A"/>
                <w:sz w:val="20"/>
              </w:rPr>
              <w:t>Construction Managers &amp; Engineers</w:t>
            </w:r>
          </w:p>
        </w:tc>
        <w:tc>
          <w:tcPr>
            <w:tcW w:type="dxa" w:w="7257"/>
            <w:tcMar>
              <w:top w:w="60" w:type="dxa"/>
              <w:bottom w:w="60" w:type="dxa"/>
              <w:start w:w="110" w:type="dxa"/>
              <w:end w:w="110" w:type="dxa"/>
            </w:tcMar>
          </w:tcPr>
          <w:p>
            <w:pPr>
              <w:spacing w:after="40" w:before="20"/>
            </w:pPr>
            <w:r>
              <w:rPr>
                <w:rFonts w:ascii="Calibri" w:hAnsi="Calibri"/>
                <w:b w:val="0"/>
                <w:i w:val="0"/>
                <w:color w:val="222A2E"/>
                <w:sz w:val="20"/>
              </w:rPr>
              <w:t>Ensuring work crews maintain designated buffer distances, enforcing vehicle speed limits (5 km/h), ensuring drip trays are used under mobile machinery, and verifying materials are stored per compatibility rules.</w:t>
            </w:r>
          </w:p>
        </w:tc>
      </w:tr>
      <w:tr>
        <w:tc>
          <w:tcPr>
            <w:tcW w:type="dxa" w:w="2608"/>
            <w:tcMar>
              <w:top w:w="60" w:type="dxa"/>
              <w:bottom w:w="60" w:type="dxa"/>
              <w:start w:w="110" w:type="dxa"/>
              <w:end w:w="110" w:type="dxa"/>
            </w:tcMar>
            <w:vAlign w:val="center"/>
            <w:shd w:val="clear" w:color="auto" w:fill="EAF4F5"/>
          </w:tcPr>
          <w:p>
            <w:pPr>
              <w:spacing w:after="40" w:before="20"/>
            </w:pPr>
            <w:r>
              <w:rPr>
                <w:rFonts w:ascii="Calibri" w:hAnsi="Calibri"/>
                <w:b/>
                <w:i w:val="0"/>
                <w:color w:val="003B4A"/>
                <w:sz w:val="20"/>
              </w:rPr>
              <w:t>Subcontractors &amp; Suppliers</w:t>
            </w:r>
          </w:p>
        </w:tc>
        <w:tc>
          <w:tcPr>
            <w:tcW w:type="dxa" w:w="7257"/>
            <w:tcMar>
              <w:top w:w="60" w:type="dxa"/>
              <w:bottom w:w="60" w:type="dxa"/>
              <w:start w:w="110" w:type="dxa"/>
              <w:end w:w="110" w:type="dxa"/>
            </w:tcMar>
            <w:shd w:val="clear" w:color="auto" w:fill="EAF4F5"/>
          </w:tcPr>
          <w:p>
            <w:pPr>
              <w:spacing w:after="40" w:before="20"/>
            </w:pPr>
            <w:r>
              <w:rPr>
                <w:rFonts w:ascii="Calibri" w:hAnsi="Calibri"/>
                <w:b w:val="0"/>
                <w:i w:val="0"/>
                <w:color w:val="222A2E"/>
                <w:sz w:val="20"/>
              </w:rPr>
              <w:t>Strict adherence to chemical containment rules, providing valid SDS for all delivered chemicals, utilizing correct waste skips, and reporting all spills or environmental incidents immediately to Siemens Energy EHS.</w:t>
            </w:r>
          </w:p>
        </w:tc>
      </w:tr>
    </w:tbl>
    <w:p>
      <w:pPr>
        <w:keepNext/>
        <w:spacing w:before="260" w:after="120"/>
        <w:pBdr>
          <w:bottom w:val="single" w:sz="12" w:space="3" w:color="007E8C"/>
        </w:pBdr>
      </w:pPr>
      <w:r>
        <w:rPr>
          <w:rFonts w:ascii="Calibri" w:hAnsi="Calibri"/>
          <w:b/>
          <w:color w:val="003B4A"/>
          <w:sz w:val="25"/>
        </w:rPr>
        <w:t>SECTION 2: ITEM-BY-ITEM MATERIAL &amp; CHEMICAL STORAGE STANDARDS (SOPs)</w:t>
      </w:r>
    </w:p>
    <w:p>
      <w:pPr>
        <w:spacing w:after="80"/>
      </w:pPr>
      <w:r>
        <w:rPr>
          <w:rFonts w:ascii="Calibri" w:hAnsi="Calibri"/>
          <w:color w:val="222A2E"/>
          <w:sz w:val="21"/>
        </w:rPr>
        <w:t>All materials and chemicals brought to the KAZ Power Plant site must be categorized, contained, and handled in strict compliance with the following Standard Operating Procedures (SOPs):</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494"/>
        <w:gridCol w:w="7370"/>
      </w:tblGrid>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1. Diesel Fuel &amp; Lube Oils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Containment &amp; Technical Specifications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Double-walled steel tanks OR single-walled tanks housed inside a 110% capacity reinforced concrete bunded yard. Shaded overhead canopy to reduce thermal stress. Impermeable epoxy-lined floor with a sumped drainage point.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Operational Handling &amp; Transport Protocols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Refueling restricted strictly to paved concrete pads equipped with drainage channels leading to an oil-water separator. Fuel hoses equipped with grounded earth clamps and automatic shut-off non-sparking nozzles. Drip trays mandatory under all stationary diesel generators and pumps.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Safety, PPE &amp; Spill Provisions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Nitrile gloves, safety splash goggles, steel-toe oil-resistant boots. Dedicated 120L Spill Kit (oil-absorbent pads, booms, particulate). 2× 50 kg Heavy-Duty Foam Fire Extinguishers stationed within 5 meters.</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2. Paints, Thinners, Resins &amp; Solvents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Containment &amp; Technical Specifications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Fire-rated, lockable, naturally ventilated Chemical Storage Container. Mounted on polyethylene spill pallets (min. 220L containment capacity). Oxidizers and flammable solvents separated by at least 3 meters.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Operational Handling &amp; Transport Protocols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Mixing and thinning permitted exclusively inside designated, ventilated containment bays. Only shift-required quantities transferred to active work areas using sealed, labeled safety cans. Latching container doors when unattended.</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Safety, PPE &amp; Spill Provisions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Organic vapor cartridge respirators (A2-P3), chemical rubber aprons, full face shields, neoprene gloves. Self-contained emergency eye wash station (minimum 15-minute continuous flow) within 10 m.</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3. Compressed Gas Cylinders (O2, C2H2, Ar)</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Containment &amp; Technical Specifications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Upright vertical position secured with dual steel chains inside heavy-duty wire-mesh cages. Shaded roof with open sides for maximum natural ventilation. Oxygen cylinders separated from Acetylene/flammables by 6 meters or a 1.5 m high 30-minute fire-rated wall.</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Operational Handling &amp; Transport Protocols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Transported only in dedicated cylinder trolleys with protective screw caps fitted over valves. Dual-ended Flashback Arrestors installed at both torch handles and regulator outlets. Soap-solution leak testing required daily before ignition.</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Safety, PPE &amp; Spill Provisions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Heavy-duty leather welding gauntlets, shade-5 cutting glasses, safety boots. 10 kg Dry Chemical Powder and CO2 extinguishers attached to cylinder cages.</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4. Cement, Lime, Grout &amp; Powder Additives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Containment &amp; Technical Specifications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Stored in fully enclosed, weatherproof warehouse structures. Elevated off the ground by at least 15 cm using heavy timber pallets. Covered with heavy-duty UV-resistant tarpaulins during transit and storage.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Operational Handling &amp; Transport Protocols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Water-misting or localized dust suppression during bag opening and concrete batch hopper feeding. Empty paper sacks compacted and bundled immediately inside heavy plastic bags to prevent wind dispersion.</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Safety, PPE &amp; Spill Provisions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FFP3 particulate dust respirators, tight-sealing safety goggles, heavy rubber gloves. Emergency eye wash station available at concrete batching area.</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5. Rebar, Structural Steel, Alloy Piping &amp; Cables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Containment &amp; Technical Specifications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Designated paved/gravel laydown yard with perimeter security fencing. Elevated minimum 15 cm off bare ground using heavy wooden dunnage to prevent soil contact and corrosion.</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Operational Handling &amp; Transport Protocols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Segregated by material grade, structural profile, and heat number. Alloy piping fitted with plastic protective end-caps at all times to prevent dust and moisture ingress.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Safety, PPE &amp; Spill Provisions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Cut-resistant Level 5 safety gloves, high-visibility vest, steel-toe safety boots, hard hat.</w:t>
            </w:r>
          </w:p>
        </w:tc>
      </w:tr>
    </w:tbl>
    <w:p>
      <w:pPr>
        <w:keepNext/>
        <w:spacing w:before="260" w:after="120"/>
        <w:pBdr>
          <w:bottom w:val="single" w:sz="12" w:space="3" w:color="007E8C"/>
        </w:pBdr>
      </w:pPr>
      <w:r>
        <w:rPr>
          <w:rFonts w:ascii="Calibri" w:hAnsi="Calibri"/>
          <w:b/>
          <w:color w:val="003B4A"/>
          <w:sz w:val="25"/>
        </w:rPr>
        <w:t>SECTION 3: ENVIRONMENTAL TESTING, MONITORING &amp; QUALITY ASSURANCE PROGRAM</w:t>
      </w:r>
    </w:p>
    <w:p>
      <w:pPr>
        <w:spacing w:after="80"/>
      </w:pPr>
      <w:r>
        <w:rPr>
          <w:rFonts w:ascii="Calibri" w:hAnsi="Calibri"/>
          <w:color w:val="222A2E"/>
          <w:sz w:val="21"/>
        </w:rPr>
        <w:t>All environmental sampling, laboratory analysis, and field monitoring must be performed by an independent, third-party laboratory certified by the Iraqi Ministry of Environment, supervised by Siemens Energy EHS.</w:t>
      </w:r>
    </w:p>
    <w:p>
      <w:pPr>
        <w:keepNext/>
        <w:spacing w:before="160" w:after="80"/>
      </w:pPr>
      <w:r>
        <w:rPr>
          <w:rFonts w:ascii="Calibri" w:hAnsi="Calibri"/>
          <w:b/>
          <w:color w:val="007E8C"/>
          <w:sz w:val="22"/>
        </w:rPr>
        <w:t>3.1 Comprehensive Water Quality Testing Framework</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494"/>
        <w:gridCol w:w="7370"/>
      </w:tblGrid>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Potable Drinking Water</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Sampling Point</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Camp Mess Hall, Office Dispensers, Site Water Coolers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Testing Frequency</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Weekly (In-House Field Kit) / Monthly (Certified Lab)</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Target Parameters &amp; Mandatory Limits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pH: 6.5 – 8.5 • Turbidity: &lt; 1.0 NTU • Free Residual Chlorine: 0.2 – 0.5 mg/L • Total Coliforms &amp; E. coli: 0 CFU / 100 mL • TDS: &lt; 500 mg/L  (Ref: WHO Guidelines for Drinking-water Quality; Iraqi Environmental Law No. 27 (2009).)</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Corrective Action Protocol</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Immediately isolate affected water dispenser/tank. Provide bottled drinking water to all staff. Shock-chlorinate distribution piping (50 ppm for 24 hrs). Flush system, re-sample, and re-test before re-commissioning.</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Construction &amp; Equipment Washing Water</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Sampling Point</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Batching Plant Supply Tank, Equipment Wash Bays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Testing Frequency</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Monthly</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Target Parameters &amp; Mandatory Limits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pH: 6.0 – 9.0 • Total Suspended Solids (TSS): &lt; 50 mg/L • Oil &amp; Grease: &lt; 10 mg/L • Sulfates (SO4): &lt; 1000 mg/L  (Ref: Iraqi Environmental Law No. 27 (2009); MoE discharge requirements.)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Corrective Action Protocol</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Halt washing operations if Oil/Grease &gt; 10 mg/L. Clean oil-water separator coalescing plates (where fitted). Divert wash water through dual-settlement basins.</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STP Treated Sewage Effluent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Sampling Point</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Modular STP Outlet Discharge Line  (Applicable where an on-site modular STP is installed; where no STP is available, sewage is handled by septic tanks and licensed tanker disposal.)</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Testing Frequency</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Bi-Weekly</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Target Parameters &amp; Mandatory Limits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BOD5: &lt; 30 mg/L • COD: &lt; 100 mg/L • TSS: &lt; 30 mg/L • E. coli: Zero / 100 mL • pH: 6.5 – 8.5</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Corrective Action Protocol</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Re-route effluent back to aeration tank for extended treatment. Adjust UV disinfection intensity / dosing rates. No discharge permitted until re-test meets MoE irrigation standards.</w:t>
            </w:r>
          </w:p>
        </w:tc>
      </w:tr>
    </w:tbl>
    <w:p>
      <w:pPr>
        <w:keepNext/>
        <w:spacing w:before="160" w:after="80"/>
      </w:pPr>
      <w:r>
        <w:rPr>
          <w:rFonts w:ascii="Calibri" w:hAnsi="Calibri"/>
          <w:b/>
          <w:color w:val="007E8C"/>
          <w:sz w:val="22"/>
        </w:rPr>
        <w:t>3.2 Gas Detection &amp; Hazardous Atmosphere Protocol</w:t>
      </w:r>
    </w:p>
    <w:p>
      <w:pPr>
        <w:spacing w:after="80"/>
      </w:pPr>
      <w:r>
        <w:rPr>
          <w:rFonts w:ascii="Calibri" w:hAnsi="Calibri"/>
          <w:b/>
          <w:color w:val="003B4A"/>
          <w:sz w:val="21"/>
        </w:rPr>
        <w:t xml:space="preserve">Fixed Continuous Gas Detection: </w:t>
      </w:r>
      <w:r>
        <w:rPr>
          <w:rFonts w:ascii="Calibri" w:hAnsi="Calibri"/>
          <w:color w:val="222A2E"/>
          <w:sz w:val="21"/>
        </w:rPr>
        <w:t>Permanently installed, calibrated gas sensors linked to the Site Central EHS Control Room are required at live electrical switchyards, chemical storage yards, and fuel unloading docks. (Applicable where such fixed gas detection systems are installed on site; where fixed detection is not available, calibrated portable multi-gas detectors shall be deployed at the same locations as an equivalent control.)</w:t>
      </w:r>
    </w:p>
    <w:p>
      <w:pPr>
        <w:spacing w:after="80"/>
      </w:pPr>
      <w:r>
        <w:rPr>
          <w:rFonts w:ascii="Calibri" w:hAnsi="Calibri"/>
          <w:b/>
          <w:color w:val="003B4A"/>
          <w:sz w:val="21"/>
        </w:rPr>
        <w:t xml:space="preserve">Confined Space &amp; Excavation Gas Entry Permits: </w:t>
      </w:r>
      <w:r>
        <w:rPr>
          <w:rFonts w:ascii="Calibri" w:hAnsi="Calibri"/>
          <w:color w:val="222A2E"/>
          <w:sz w:val="21"/>
        </w:rPr>
        <w:t>Prior to entering any excavation deeper than 1.2 m, underground trench, or enclosed vessel, a multi-gas detector (4-Gas: O2, LEL, H2S, CO) must be calibrated and used to test top, middle, and bottom atmospheres:</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834"/>
        <w:gridCol w:w="7029"/>
      </w:tblGrid>
      <w:tr>
        <w:tc>
          <w:tcPr>
            <w:tcW w:type="dxa" w:w="2835"/>
            <w:shd w:val="clear" w:color="auto" w:fill="007E8C"/>
            <w:tcMar>
              <w:top w:w="60" w:type="dxa"/>
              <w:bottom w:w="60" w:type="dxa"/>
              <w:start w:w="110" w:type="dxa"/>
              <w:end w:w="110" w:type="dxa"/>
            </w:tcMar>
          </w:tcPr>
          <w:p>
            <w:pPr>
              <w:spacing w:after="40" w:before="20"/>
            </w:pPr>
            <w:r>
              <w:rPr>
                <w:rFonts w:ascii="Calibri" w:hAnsi="Calibri"/>
                <w:b/>
                <w:i w:val="0"/>
                <w:color w:val="FFFFFF"/>
                <w:sz w:val="19"/>
              </w:rPr>
              <w:t>Gas</w:t>
            </w:r>
          </w:p>
        </w:tc>
        <w:tc>
          <w:tcPr>
            <w:tcW w:type="dxa" w:w="7030"/>
            <w:shd w:val="clear" w:color="auto" w:fill="007E8C"/>
            <w:tcMar>
              <w:top w:w="60" w:type="dxa"/>
              <w:bottom w:w="60" w:type="dxa"/>
              <w:start w:w="110" w:type="dxa"/>
              <w:end w:w="110" w:type="dxa"/>
            </w:tcMar>
          </w:tcPr>
          <w:p>
            <w:pPr>
              <w:spacing w:after="40" w:before="20"/>
            </w:pPr>
            <w:r>
              <w:rPr>
                <w:rFonts w:ascii="Calibri" w:hAnsi="Calibri"/>
                <w:b/>
                <w:i w:val="0"/>
                <w:color w:val="FFFFFF"/>
                <w:sz w:val="19"/>
              </w:rPr>
              <w:t>Mandatory Threshold</w:t>
            </w:r>
          </w:p>
        </w:tc>
      </w:tr>
      <w:tr>
        <w:tc>
          <w:tcPr>
            <w:tcW w:type="dxa" w:w="2835"/>
            <w:tcMar>
              <w:top w:w="60" w:type="dxa"/>
              <w:bottom w:w="60" w:type="dxa"/>
              <w:start w:w="110" w:type="dxa"/>
              <w:end w:w="110" w:type="dxa"/>
            </w:tcMar>
          </w:tcPr>
          <w:p>
            <w:pPr>
              <w:spacing w:after="40" w:before="20"/>
            </w:pPr>
            <w:r>
              <w:rPr>
                <w:rFonts w:ascii="Calibri" w:hAnsi="Calibri"/>
                <w:b/>
                <w:i w:val="0"/>
                <w:color w:val="003B4A"/>
                <w:sz w:val="19"/>
              </w:rPr>
              <w:t>Oxygen (O2)</w:t>
            </w:r>
          </w:p>
        </w:tc>
        <w:tc>
          <w:tcPr>
            <w:tcW w:type="dxa" w:w="7030"/>
            <w:tcMar>
              <w:top w:w="60" w:type="dxa"/>
              <w:bottom w:w="60" w:type="dxa"/>
              <w:start w:w="110" w:type="dxa"/>
              <w:end w:w="110" w:type="dxa"/>
            </w:tcMar>
          </w:tcPr>
          <w:p>
            <w:pPr>
              <w:spacing w:after="40" w:before="20"/>
            </w:pPr>
            <w:r>
              <w:rPr>
                <w:rFonts w:ascii="Calibri" w:hAnsi="Calibri"/>
                <w:b w:val="0"/>
                <w:i w:val="0"/>
                <w:color w:val="222A2E"/>
                <w:sz w:val="19"/>
              </w:rPr>
              <w:t>Safe working range: 19.5% – 23.5%. Work stopped if outside this range.</w:t>
            </w:r>
          </w:p>
        </w:tc>
      </w:tr>
      <w:tr>
        <w:tc>
          <w:tcPr>
            <w:tcW w:type="dxa" w:w="2835"/>
            <w:tcMar>
              <w:top w:w="60" w:type="dxa"/>
              <w:bottom w:w="60" w:type="dxa"/>
              <w:start w:w="110" w:type="dxa"/>
              <w:end w:w="110" w:type="dxa"/>
            </w:tcMar>
            <w:shd w:val="clear" w:color="auto" w:fill="EAF4F5"/>
          </w:tcPr>
          <w:p>
            <w:pPr>
              <w:spacing w:after="40" w:before="20"/>
            </w:pPr>
            <w:r>
              <w:rPr>
                <w:rFonts w:ascii="Calibri" w:hAnsi="Calibri"/>
                <w:b/>
                <w:i w:val="0"/>
                <w:color w:val="003B4A"/>
                <w:sz w:val="19"/>
              </w:rPr>
              <w:t>Combustible Gases (LEL)</w:t>
            </w:r>
          </w:p>
        </w:tc>
        <w:tc>
          <w:tcPr>
            <w:tcW w:type="dxa" w:w="7030"/>
            <w:tcMar>
              <w:top w:w="60" w:type="dxa"/>
              <w:bottom w:w="60" w:type="dxa"/>
              <w:start w:w="110" w:type="dxa"/>
              <w:end w:w="110" w:type="dxa"/>
            </w:tcMar>
            <w:shd w:val="clear" w:color="auto" w:fill="EAF4F5"/>
          </w:tcPr>
          <w:p>
            <w:pPr>
              <w:spacing w:after="40" w:before="20"/>
            </w:pPr>
            <w:r>
              <w:rPr>
                <w:rFonts w:ascii="Calibri" w:hAnsi="Calibri"/>
                <w:b w:val="0"/>
                <w:i w:val="0"/>
                <w:color w:val="222A2E"/>
                <w:sz w:val="19"/>
              </w:rPr>
              <w:t>Must be 0% LEL. Action level: Stop work and evacuate if &gt; 5% LEL.</w:t>
            </w:r>
          </w:p>
        </w:tc>
      </w:tr>
      <w:tr>
        <w:tc>
          <w:tcPr>
            <w:tcW w:type="dxa" w:w="2835"/>
            <w:tcMar>
              <w:top w:w="60" w:type="dxa"/>
              <w:bottom w:w="60" w:type="dxa"/>
              <w:start w:w="110" w:type="dxa"/>
              <w:end w:w="110" w:type="dxa"/>
            </w:tcMar>
          </w:tcPr>
          <w:p>
            <w:pPr>
              <w:spacing w:after="40" w:before="20"/>
            </w:pPr>
            <w:r>
              <w:rPr>
                <w:rFonts w:ascii="Calibri" w:hAnsi="Calibri"/>
                <w:b/>
                <w:i w:val="0"/>
                <w:color w:val="003B4A"/>
                <w:sz w:val="19"/>
              </w:rPr>
              <w:t>Hydrogen Sulfide (H2S)</w:t>
            </w:r>
          </w:p>
        </w:tc>
        <w:tc>
          <w:tcPr>
            <w:tcW w:type="dxa" w:w="7030"/>
            <w:tcMar>
              <w:top w:w="60" w:type="dxa"/>
              <w:bottom w:w="60" w:type="dxa"/>
              <w:start w:w="110" w:type="dxa"/>
              <w:end w:w="110" w:type="dxa"/>
            </w:tcMar>
          </w:tcPr>
          <w:p>
            <w:pPr>
              <w:spacing w:after="40" w:before="20"/>
            </w:pPr>
            <w:r>
              <w:rPr>
                <w:rFonts w:ascii="Calibri" w:hAnsi="Calibri"/>
                <w:b w:val="0"/>
                <w:i w:val="0"/>
                <w:color w:val="222A2E"/>
                <w:sz w:val="19"/>
              </w:rPr>
              <w:t>Mandatory threshold: &lt; 5 ppm. Evacuate if &gt; 10 ppm.</w:t>
            </w:r>
          </w:p>
        </w:tc>
      </w:tr>
      <w:tr>
        <w:tc>
          <w:tcPr>
            <w:tcW w:type="dxa" w:w="2835"/>
            <w:tcMar>
              <w:top w:w="60" w:type="dxa"/>
              <w:bottom w:w="60" w:type="dxa"/>
              <w:start w:w="110" w:type="dxa"/>
              <w:end w:w="110" w:type="dxa"/>
            </w:tcMar>
            <w:shd w:val="clear" w:color="auto" w:fill="EAF4F5"/>
          </w:tcPr>
          <w:p>
            <w:pPr>
              <w:spacing w:after="40" w:before="20"/>
            </w:pPr>
            <w:r>
              <w:rPr>
                <w:rFonts w:ascii="Calibri" w:hAnsi="Calibri"/>
                <w:b/>
                <w:i w:val="0"/>
                <w:color w:val="003B4A"/>
                <w:sz w:val="19"/>
              </w:rPr>
              <w:t>Carbon Monoxide (CO)</w:t>
            </w:r>
          </w:p>
        </w:tc>
        <w:tc>
          <w:tcPr>
            <w:tcW w:type="dxa" w:w="7030"/>
            <w:tcMar>
              <w:top w:w="60" w:type="dxa"/>
              <w:bottom w:w="60" w:type="dxa"/>
              <w:start w:w="110" w:type="dxa"/>
              <w:end w:w="110" w:type="dxa"/>
            </w:tcMar>
            <w:shd w:val="clear" w:color="auto" w:fill="EAF4F5"/>
          </w:tcPr>
          <w:p>
            <w:pPr>
              <w:spacing w:after="40" w:before="20"/>
            </w:pPr>
            <w:r>
              <w:rPr>
                <w:rFonts w:ascii="Calibri" w:hAnsi="Calibri"/>
                <w:b w:val="0"/>
                <w:i w:val="0"/>
                <w:color w:val="222A2E"/>
                <w:sz w:val="19"/>
              </w:rPr>
              <w:t>Mandatory threshold: &lt; 25 ppm. Evacuate if &gt; 50 ppm.</w:t>
            </w:r>
          </w:p>
        </w:tc>
      </w:tr>
    </w:tbl>
    <w:p>
      <w:pPr>
        <w:spacing w:after="80"/>
      </w:pPr>
      <w:r>
        <w:rPr>
          <w:rFonts w:ascii="Calibri" w:hAnsi="Calibri"/>
          <w:color w:val="222A2E"/>
          <w:sz w:val="21"/>
        </w:rPr>
        <w:t>Reference: the gas exposure thresholds above follow OSHA 29 CFR 1910.146 (permit-required confined spaces) and ACGIH TLV / OSHA PEL values — see Section 9.</w:t>
      </w:r>
    </w:p>
    <w:p>
      <w:pPr>
        <w:keepNext/>
        <w:spacing w:before="160" w:after="80"/>
      </w:pPr>
      <w:r>
        <w:rPr>
          <w:rFonts w:ascii="Calibri" w:hAnsi="Calibri"/>
          <w:b/>
          <w:color w:val="007E8C"/>
          <w:sz w:val="22"/>
        </w:rPr>
        <w:t>3.3 Noise Boundary &amp; Workplace Acoustic Control</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494"/>
        <w:gridCol w:w="7370"/>
      </w:tblGrid>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Project Boundary Fence</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Monitoring Method &amp; Location</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Monthly 24-hr sampling using calibrated Type-1 Sound Level Meters at N, S, E, W boundaries.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Maximum Sound Level Limit</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Daytime: 70 dB(A) • Nighttime: 55 dB(A)  (Ref: WHO Environmental Noise Guidelines; Iraqi noise regulations.)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Operational Controls</w:t>
            </w:r>
          </w:p>
        </w:tc>
        <w:tc>
          <w:tcPr>
            <w:tcW w:type="dxa" w:w="7370"/>
            <w:tcMar>
              <w:top w:w="60" w:type="dxa"/>
              <w:bottom w:w="60" w:type="dxa"/>
              <w:start w:w="110" w:type="dxa"/>
              <w:end w:w="110" w:type="dxa"/>
            </w:tcMar>
          </w:tcPr>
          <w:p>
            <w:pPr>
              <w:spacing w:after="40" w:before="20"/>
            </w:pPr>
            <w:r>
              <w:rPr>
                <w:rFonts w:ascii="Calibri" w:hAnsi="Calibri"/>
                <w:b w:val="0"/>
                <w:i w:val="0"/>
                <w:color w:val="222A2E"/>
                <w:sz w:val="20"/>
              </w:rPr>
              <w:t>Position stationary generators away from perimeter fencing; install acoustic barrier blankets around heavy piling rigs.</w:t>
            </w:r>
          </w:p>
        </w:tc>
      </w:tr>
      <w:tr>
        <w:tc>
          <w:tcPr>
            <w:tcW w:type="dxa" w:w="7370"/>
            <w:gridSpan w:val="2"/>
            <w:shd w:val="clear" w:color="auto" w:fill="007E8C"/>
            <w:tcMar>
              <w:top w:w="70" w:type="dxa"/>
              <w:bottom w:w="70" w:type="dxa"/>
              <w:start w:w="110" w:type="dxa"/>
              <w:end w:w="110" w:type="dxa"/>
            </w:tcMar>
          </w:tcPr>
          <w:p>
            <w:pPr>
              <w:spacing w:after="40" w:before="20"/>
            </w:pPr>
            <w:r>
              <w:rPr>
                <w:rFonts w:ascii="Calibri" w:hAnsi="Calibri"/>
                <w:b/>
                <w:i w:val="0"/>
                <w:color w:val="FFFFFF"/>
                <w:sz w:val="21"/>
              </w:rPr>
              <w:t>Workplace High-Noise Areas</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Monitoring Method &amp; Location</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Handheld decibel surveys conducted during grinding, piling, concrete crushing, or turbine alignment.</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Maximum Sound Level Limit</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Action Level: 85 dB(A)  (Ref: OSHA 29 CFR 1910.95 – 85 dB(A) action level.)</w:t>
            </w:r>
          </w:p>
        </w:tc>
      </w:tr>
      <w:tr>
        <w:tc>
          <w:tcPr>
            <w:tcW w:type="dxa" w:w="2494"/>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Mandatory Operational Controls</w:t>
            </w:r>
          </w:p>
        </w:tc>
        <w:tc>
          <w:tcPr>
            <w:tcW w:type="dxa" w:w="7370"/>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Designate area as “Mandatory Hearing Protection Zone”. Issue dual protection (earplugs + earmuffs) if noise exceeds 100 dB(A). Limit shift exposure times.</w:t>
            </w:r>
          </w:p>
        </w:tc>
      </w:tr>
    </w:tbl>
    <w:p>
      <w:pPr>
        <w:keepNext/>
        <w:spacing w:before="160" w:after="80"/>
      </w:pPr>
      <w:r>
        <w:rPr>
          <w:rFonts w:ascii="Calibri" w:hAnsi="Calibri"/>
          <w:b/>
          <w:color w:val="007E8C"/>
          <w:sz w:val="22"/>
        </w:rPr>
        <w:t>3.4 Air Quality, Dust Migration &amp; Distance Buffer Control</w:t>
      </w:r>
    </w:p>
    <w:p>
      <w:pPr>
        <w:spacing w:after="80"/>
      </w:pPr>
      <w:r>
        <w:rPr>
          <w:rFonts w:ascii="Calibri" w:hAnsi="Calibri"/>
          <w:b/>
          <w:color w:val="003B4A"/>
          <w:sz w:val="21"/>
        </w:rPr>
        <w:t xml:space="preserve">Particulate Matter Monitoring: </w:t>
      </w:r>
      <w:r>
        <w:rPr>
          <w:rFonts w:ascii="Calibri" w:hAnsi="Calibri"/>
          <w:color w:val="222A2E"/>
          <w:sz w:val="21"/>
        </w:rPr>
        <w:t>High-volume air samplers stationed upwind and downwind monthly. Target limits: PM10 &lt; 150 µg/m³ (24-hr average); PM2.5 &lt; 35 µg/m³ (24-hr average). (Ref: WHO Global Air Quality Guidelines 2021; US EPA NAAQS.)</w:t>
      </w:r>
    </w:p>
    <w:p>
      <w:pPr>
        <w:spacing w:after="80"/>
      </w:pPr>
      <w:r>
        <w:rPr>
          <w:rFonts w:ascii="Calibri" w:hAnsi="Calibri"/>
          <w:color w:val="222A2E"/>
          <w:sz w:val="21"/>
        </w:rPr>
        <w:t>Mandatory Distance Buffers:</w:t>
      </w:r>
    </w:p>
    <w:p>
      <w:pPr>
        <w:spacing w:after="60"/>
        <w:ind w:left="283" w:hanging="283"/>
      </w:pPr>
      <w:r>
        <w:rPr>
          <w:rFonts w:ascii="Calibri" w:hAnsi="Calibri"/>
          <w:b/>
          <w:color w:val="007E8C"/>
          <w:sz w:val="21"/>
        </w:rPr>
        <w:t xml:space="preserve">▪  </w:t>
      </w:r>
      <w:r>
        <w:rPr>
          <w:rFonts w:ascii="Calibri" w:hAnsi="Calibri"/>
          <w:color w:val="222A2E"/>
          <w:sz w:val="21"/>
        </w:rPr>
        <w:t>Concrete batching plants and stone crushers must maintain a minimum 100-meter buffer distance from site office complexes, mess halls, and live control rooms.</w:t>
      </w:r>
    </w:p>
    <w:p>
      <w:pPr>
        <w:spacing w:after="60"/>
        <w:ind w:left="283" w:hanging="283"/>
      </w:pPr>
      <w:r>
        <w:rPr>
          <w:rFonts w:ascii="Calibri" w:hAnsi="Calibri"/>
          <w:b/>
          <w:color w:val="007E8C"/>
          <w:sz w:val="21"/>
        </w:rPr>
        <w:t xml:space="preserve">▪  </w:t>
      </w:r>
      <w:r>
        <w:rPr>
          <w:rFonts w:ascii="Calibri" w:hAnsi="Calibri"/>
          <w:color w:val="222A2E"/>
          <w:sz w:val="21"/>
        </w:rPr>
        <w:t>Chemical and fuel storage yards must maintain a minimum 50-meter buffer distance from site drainage channels, hot-work zones, and ignition sources.</w:t>
      </w:r>
    </w:p>
    <w:p>
      <w:pPr>
        <w:spacing w:after="80"/>
      </w:pPr>
      <w:r>
        <w:rPr>
          <w:rFonts w:ascii="Calibri" w:hAnsi="Calibri"/>
          <w:b/>
          <w:color w:val="003B4A"/>
          <w:sz w:val="21"/>
        </w:rPr>
        <w:t xml:space="preserve">Dust Suppression Protocol: </w:t>
      </w:r>
      <w:r>
        <w:rPr>
          <w:rFonts w:ascii="Calibri" w:hAnsi="Calibri"/>
          <w:color w:val="222A2E"/>
          <w:sz w:val="21"/>
        </w:rPr>
        <w:t>Water tanker trucks must spray unpaved haul roads every 2 hours during hot/dry conditions (and every hour during windy conditions &gt; 20 km/h). All construction site vehicles restricted to a maximum speed of 5 km/h. Topsoil stockpiles exceeding 2 meters in height must be covered with tarpaulins or misted with chemical dust binders.</w:t>
      </w:r>
    </w:p>
    <w:p>
      <w:pPr>
        <w:keepNext/>
        <w:spacing w:before="260" w:after="120"/>
        <w:pBdr>
          <w:bottom w:val="single" w:sz="12" w:space="3" w:color="007E8C"/>
        </w:pBdr>
      </w:pPr>
      <w:r>
        <w:rPr>
          <w:rFonts w:ascii="Calibri" w:hAnsi="Calibri"/>
          <w:b/>
          <w:color w:val="003B4A"/>
          <w:sz w:val="25"/>
        </w:rPr>
        <w:t>SECTION 4: WASTEWATER &amp; CONCRETE WASHOUT MANAGEMENT</w:t>
      </w:r>
    </w:p>
    <w:p>
      <w:pPr>
        <w:spacing w:after="80"/>
      </w:pPr>
      <w:r>
        <w:rPr>
          <w:rFonts w:ascii="Calibri" w:hAnsi="Calibri"/>
          <w:b/>
          <w:color w:val="003B4A"/>
          <w:sz w:val="21"/>
        </w:rPr>
        <w:t xml:space="preserve">Sanitary Sewage Systems: </w:t>
      </w:r>
      <w:r>
        <w:rPr>
          <w:rFonts w:ascii="Calibri" w:hAnsi="Calibri"/>
          <w:color w:val="222A2E"/>
          <w:sz w:val="21"/>
        </w:rPr>
        <w:t>All site office toilets, mess hall kitchens, and ablution units must discharge through sealed HDPE piping directly into underground, leak-tested septic tanks or an on-site Modular Sewage Treatment Plant (STP), where installed. Where no on-site STP is available, sewage shall be managed via sealed, leak-tested septic tanks and licensed tanker removal.</w:t>
      </w:r>
    </w:p>
    <w:p>
      <w:pPr>
        <w:spacing w:after="80"/>
      </w:pPr>
      <w:r>
        <w:rPr>
          <w:rFonts w:ascii="Calibri" w:hAnsi="Calibri"/>
          <w:b/>
          <w:color w:val="003B4A"/>
          <w:sz w:val="21"/>
        </w:rPr>
        <w:t xml:space="preserve">Septic Tank Emptying Protocol: </w:t>
      </w:r>
      <w:r>
        <w:rPr>
          <w:rFonts w:ascii="Calibri" w:hAnsi="Calibri"/>
          <w:color w:val="222A2E"/>
          <w:sz w:val="21"/>
        </w:rPr>
        <w:t>Septic tanks must be inspected daily by the EHS team. Tanks must be pumped out before reaching 80% capacity using licensed municipal vacuum tankers. Disposal manifests are mandatory for every tanker trip.</w:t>
      </w:r>
    </w:p>
    <w:p>
      <w:pPr>
        <w:spacing w:after="80"/>
      </w:pPr>
      <w:r>
        <w:rPr>
          <w:rFonts w:ascii="Calibri" w:hAnsi="Calibri"/>
          <w:b/>
          <w:color w:val="003B4A"/>
          <w:sz w:val="21"/>
        </w:rPr>
        <w:t xml:space="preserve">Concrete Washout Pits: </w:t>
      </w:r>
      <w:r>
        <w:rPr>
          <w:rFonts w:ascii="Calibri" w:hAnsi="Calibri"/>
          <w:color w:val="222A2E"/>
          <w:sz w:val="21"/>
        </w:rPr>
        <w:t>Direct washing of concrete transit mixer chutes onto open ground is strictly prohibited. Transit mixers must wash exclusively into dedicated, lined concrete washout pits (min. 1.5 mm HDPE geomembrane lining). Wash water is neutralized using CO2/acid dosing to achieve a pH between 6.0 and 9.0 before re-use for road dust suppression. Cured solid concrete sludge is excavated and disposed of as inert construction waste.</w:t>
      </w:r>
    </w:p>
    <w:p>
      <w:pPr>
        <w:keepNext/>
        <w:spacing w:before="260" w:after="120"/>
        <w:pBdr>
          <w:bottom w:val="single" w:sz="12" w:space="3" w:color="007E8C"/>
        </w:pBdr>
      </w:pPr>
      <w:r>
        <w:rPr>
          <w:rFonts w:ascii="Calibri" w:hAnsi="Calibri"/>
          <w:b/>
          <w:color w:val="003B4A"/>
          <w:sz w:val="25"/>
        </w:rPr>
        <w:t>SECTION 5: EMERGENCY SPILL RESPONSE OPERATIONAL PROCEDURE (SOP)</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721"/>
        <w:gridCol w:w="7143"/>
      </w:tblGrid>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SAFETY FIRST &amp; EVACUATION</w:t>
            </w:r>
          </w:p>
        </w:tc>
        <w:tc>
          <w:tcPr>
            <w:tcW w:type="dxa" w:w="7143"/>
            <w:tcMar>
              <w:top w:w="60" w:type="dxa"/>
              <w:bottom w:w="60" w:type="dxa"/>
              <w:start w:w="110" w:type="dxa"/>
              <w:end w:w="110" w:type="dxa"/>
            </w:tcMar>
          </w:tcPr>
          <w:p>
            <w:pPr>
              <w:spacing w:after="40" w:before="20"/>
            </w:pPr>
            <w:r>
              <w:rPr>
                <w:rFonts w:ascii="Calibri" w:hAnsi="Calibri"/>
                <w:b w:val="0"/>
                <w:i w:val="0"/>
                <w:color w:val="222A2E"/>
                <w:sz w:val="20"/>
              </w:rPr>
              <w:t>Immediately stop the leak source if safe to do so. Evacuate non-essential personnel upwind. Eliminate all open flames and ignition sources.</w:t>
            </w:r>
          </w:p>
        </w:tc>
      </w:tr>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NOTIFICATION</w:t>
            </w:r>
          </w:p>
        </w:tc>
        <w:tc>
          <w:tcPr>
            <w:tcW w:type="dxa" w:w="7143"/>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Report the spill immediately to the EHS Control Room and EHS Manager (Ahmed Mansoor) detailing: location, substance type, estimated volume, and any injuries.</w:t>
            </w:r>
          </w:p>
        </w:tc>
      </w:tr>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CONTAINMENT</w:t>
            </w:r>
          </w:p>
        </w:tc>
        <w:tc>
          <w:tcPr>
            <w:tcW w:type="dxa" w:w="7143"/>
            <w:tcMar>
              <w:top w:w="60" w:type="dxa"/>
              <w:bottom w:w="60" w:type="dxa"/>
              <w:start w:w="110" w:type="dxa"/>
              <w:end w:w="110" w:type="dxa"/>
            </w:tcMar>
          </w:tcPr>
          <w:p>
            <w:pPr>
              <w:spacing w:after="40" w:before="20"/>
            </w:pPr>
            <w:r>
              <w:rPr>
                <w:rFonts w:ascii="Calibri" w:hAnsi="Calibri"/>
                <w:b w:val="0"/>
                <w:i w:val="0"/>
                <w:color w:val="222A2E"/>
                <w:sz w:val="20"/>
              </w:rPr>
              <w:t>Deploy spill booms and absorbent socks from the nearest Spill Kit Station to encircle the spill and prevent entry into drainage channels or unpaved soil.</w:t>
            </w:r>
          </w:p>
        </w:tc>
      </w:tr>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CLEAN-UP</w:t>
            </w:r>
          </w:p>
        </w:tc>
        <w:tc>
          <w:tcPr>
            <w:tcW w:type="dxa" w:w="7143"/>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Apply oil-absorbent pads or loose particulate to soak up contained liquid. Place all contaminated materials into heavy-duty hazardous waste bags.</w:t>
            </w:r>
          </w:p>
        </w:tc>
      </w:tr>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DISPOSAL &amp; REPORTING</w:t>
            </w:r>
          </w:p>
        </w:tc>
        <w:tc>
          <w:tcPr>
            <w:tcW w:type="dxa" w:w="7143"/>
            <w:tcMar>
              <w:top w:w="60" w:type="dxa"/>
              <w:bottom w:w="60" w:type="dxa"/>
              <w:start w:w="110" w:type="dxa"/>
              <w:end w:w="110" w:type="dxa"/>
            </w:tcMar>
          </w:tcPr>
          <w:p>
            <w:pPr>
              <w:spacing w:after="40" w:before="20"/>
            </w:pPr>
            <w:r>
              <w:rPr>
                <w:rFonts w:ascii="Calibri" w:hAnsi="Calibri"/>
                <w:b w:val="0"/>
                <w:i w:val="0"/>
                <w:color w:val="222A2E"/>
                <w:sz w:val="20"/>
              </w:rPr>
              <w:t>Label bags as “Hazardous Oil/Chemical Waste”, transfer them to the Red Bin in the Central Waste Yard, and complete an EHS Incident Report within 12 hours.</w:t>
            </w:r>
          </w:p>
        </w:tc>
      </w:tr>
    </w:tbl>
    <w:p>
      <w:pPr>
        <w:keepNext/>
        <w:spacing w:before="260" w:after="120"/>
        <w:pBdr>
          <w:bottom w:val="single" w:sz="12" w:space="3" w:color="007E8C"/>
        </w:pBdr>
      </w:pPr>
      <w:r>
        <w:rPr>
          <w:rFonts w:ascii="Calibri" w:hAnsi="Calibri"/>
          <w:b/>
          <w:color w:val="003B4A"/>
          <w:sz w:val="25"/>
        </w:rPr>
        <w:t>SECTION 6: CENTRAL WASTE YARD, LOGISTICS &amp; MANIFEST SYSTEM</w:t>
      </w:r>
    </w:p>
    <w:p>
      <w:pPr>
        <w:keepNext/>
        <w:spacing w:before="160" w:after="80"/>
      </w:pPr>
      <w:r>
        <w:rPr>
          <w:rFonts w:ascii="Calibri" w:hAnsi="Calibri"/>
          <w:b/>
          <w:color w:val="007E8C"/>
          <w:sz w:val="22"/>
        </w:rPr>
        <w:t>6.1 Central Waste Yard Specifications</w:t>
      </w:r>
    </w:p>
    <w:p>
      <w:pPr>
        <w:spacing w:after="80"/>
      </w:pPr>
      <w:r>
        <w:rPr>
          <w:rFonts w:ascii="Calibri" w:hAnsi="Calibri"/>
          <w:color w:val="222A2E"/>
          <w:sz w:val="21"/>
        </w:rPr>
        <w:t>The Central Waste Yard for the KAZ Power Plant Upgrade Project is built to the following technical standards:</w:t>
      </w:r>
    </w:p>
    <w:p>
      <w:pPr>
        <w:spacing w:after="80"/>
      </w:pPr>
      <w:r>
        <w:rPr>
          <w:rFonts w:ascii="Calibri" w:hAnsi="Calibri"/>
          <w:b/>
          <w:color w:val="003B4A"/>
          <w:sz w:val="21"/>
        </w:rPr>
        <w:t xml:space="preserve">Flooring &amp; Containment: </w:t>
      </w:r>
      <w:r>
        <w:rPr>
          <w:rFonts w:ascii="Calibri" w:hAnsi="Calibri"/>
          <w:color w:val="222A2E"/>
          <w:sz w:val="21"/>
        </w:rPr>
        <w:t>Reinforced concrete floor slab treated with chemical-resistant epoxy sealant, surrounded by a 30 cm high liquid-tight bund wall (110% storage capacity).</w:t>
      </w:r>
    </w:p>
    <w:p>
      <w:pPr>
        <w:spacing w:after="80"/>
      </w:pPr>
      <w:r>
        <w:rPr>
          <w:rFonts w:ascii="Calibri" w:hAnsi="Calibri"/>
          <w:b/>
          <w:color w:val="003B4A"/>
          <w:sz w:val="21"/>
        </w:rPr>
        <w:t xml:space="preserve">Protection: </w:t>
      </w:r>
      <w:r>
        <w:rPr>
          <w:rFonts w:ascii="Calibri" w:hAnsi="Calibri"/>
          <w:color w:val="222A2E"/>
          <w:sz w:val="21"/>
        </w:rPr>
        <w:t>Heavy-duty steel roof canopy providing 100% shade against direct sunlight and rain. Secured perimeter wire-mesh fence with lockable sliding gates.</w:t>
      </w:r>
    </w:p>
    <w:p>
      <w:pPr>
        <w:spacing w:after="80"/>
      </w:pPr>
      <w:r>
        <w:rPr>
          <w:rFonts w:ascii="Calibri" w:hAnsi="Calibri"/>
          <w:color w:val="222A2E"/>
          <w:sz w:val="21"/>
        </w:rPr>
        <w:t>Color-Coded Skip Segregation:</w:t>
      </w:r>
    </w:p>
    <w:p>
      <w:pPr>
        <w:spacing w:after="60"/>
        <w:ind w:left="283" w:hanging="283"/>
      </w:pPr>
      <w:r>
        <w:rPr>
          <w:rFonts w:ascii="Calibri" w:hAnsi="Calibri"/>
          <w:b/>
          <w:color w:val="007E8C"/>
          <w:sz w:val="21"/>
        </w:rPr>
        <w:t xml:space="preserve">▪  </w:t>
      </w:r>
      <w:r>
        <w:rPr>
          <w:rFonts w:ascii="Calibri" w:hAnsi="Calibri"/>
          <w:color w:val="222A2E"/>
          <w:sz w:val="21"/>
        </w:rPr>
        <w:t>RED SKIPS: Hazardous Waste (oily rags, contaminated soil, empty chemical cans, used filters, batteries).</w:t>
      </w:r>
    </w:p>
    <w:p>
      <w:pPr>
        <w:spacing w:after="60"/>
        <w:ind w:left="283" w:hanging="283"/>
      </w:pPr>
      <w:r>
        <w:rPr>
          <w:rFonts w:ascii="Calibri" w:hAnsi="Calibri"/>
          <w:b/>
          <w:color w:val="007E8C"/>
          <w:sz w:val="21"/>
        </w:rPr>
        <w:t xml:space="preserve">▪  </w:t>
      </w:r>
      <w:r>
        <w:rPr>
          <w:rFonts w:ascii="Calibri" w:hAnsi="Calibri"/>
          <w:color w:val="222A2E"/>
          <w:sz w:val="21"/>
        </w:rPr>
        <w:t>BLUE SKIPS: Clean Paper, Cardboard packaging, and Office Documentation.</w:t>
      </w:r>
    </w:p>
    <w:p>
      <w:pPr>
        <w:spacing w:after="60"/>
        <w:ind w:left="283" w:hanging="283"/>
      </w:pPr>
      <w:r>
        <w:rPr>
          <w:rFonts w:ascii="Calibri" w:hAnsi="Calibri"/>
          <w:b/>
          <w:color w:val="007E8C"/>
          <w:sz w:val="21"/>
        </w:rPr>
        <w:t xml:space="preserve">▪  </w:t>
      </w:r>
      <w:r>
        <w:rPr>
          <w:rFonts w:ascii="Calibri" w:hAnsi="Calibri"/>
          <w:color w:val="222A2E"/>
          <w:sz w:val="21"/>
        </w:rPr>
        <w:t>YELLOW SKIPS: Plastics, HDPE drums, Polyethylene sheeting, and PET bottles.</w:t>
      </w:r>
    </w:p>
    <w:p>
      <w:pPr>
        <w:spacing w:after="60"/>
        <w:ind w:left="283" w:hanging="283"/>
      </w:pPr>
      <w:r>
        <w:rPr>
          <w:rFonts w:ascii="Calibri" w:hAnsi="Calibri"/>
          <w:b/>
          <w:color w:val="007E8C"/>
          <w:sz w:val="21"/>
        </w:rPr>
        <w:t xml:space="preserve">▪  </w:t>
      </w:r>
      <w:r>
        <w:rPr>
          <w:rFonts w:ascii="Calibri" w:hAnsi="Calibri"/>
          <w:color w:val="222A2E"/>
          <w:sz w:val="21"/>
        </w:rPr>
        <w:t>HEAVY SKIPS: Inert Waste (scrap steel, rebar offcuts, timber pallets, concrete rubble).</w:t>
      </w:r>
    </w:p>
    <w:p>
      <w:pPr>
        <w:keepNext/>
        <w:spacing w:before="160" w:after="80"/>
      </w:pPr>
      <w:r>
        <w:rPr>
          <w:rFonts w:ascii="Calibri" w:hAnsi="Calibri"/>
          <w:b/>
          <w:color w:val="007E8C"/>
          <w:sz w:val="22"/>
        </w:rPr>
        <w:t>6.2 Triplicate Waste Manifest System (Annex 8 Protocol)</w:t>
      </w:r>
    </w:p>
    <w:p>
      <w:pPr>
        <w:spacing w:after="80"/>
      </w:pPr>
      <w:r>
        <w:rPr>
          <w:rFonts w:ascii="Calibri" w:hAnsi="Calibri"/>
          <w:color w:val="222A2E"/>
          <w:sz w:val="21"/>
        </w:rPr>
        <w:t>No waste shipment is permitted to leave the KAZ Power Plant site without a fully executed Triplicate Waste Manifest Form (Annex 8). The tracking process operates as follows:</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721"/>
        <w:gridCol w:w="7143"/>
      </w:tblGrid>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STEP 1 — GENERATION</w:t>
            </w:r>
          </w:p>
        </w:tc>
        <w:tc>
          <w:tcPr>
            <w:tcW w:type="dxa" w:w="7143"/>
            <w:tcMar>
              <w:top w:w="60" w:type="dxa"/>
              <w:bottom w:w="60" w:type="dxa"/>
              <w:start w:w="110" w:type="dxa"/>
              <w:end w:w="110" w:type="dxa"/>
            </w:tcMar>
          </w:tcPr>
          <w:p>
            <w:pPr>
              <w:spacing w:after="40" w:before="20"/>
            </w:pPr>
            <w:r>
              <w:rPr>
                <w:rFonts w:ascii="Calibri" w:hAnsi="Calibri"/>
                <w:b w:val="0"/>
                <w:i w:val="0"/>
                <w:color w:val="222A2E"/>
                <w:sz w:val="20"/>
              </w:rPr>
              <w:t>EHS Officer inspects loaded waste truck, verifies weight, and completes Copy 1 (White – Site Record).</w:t>
            </w:r>
          </w:p>
        </w:tc>
      </w:tr>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STEP 2 — TRANSPORT</w:t>
            </w:r>
          </w:p>
        </w:tc>
        <w:tc>
          <w:tcPr>
            <w:tcW w:type="dxa" w:w="7143"/>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Licensed Transporter signs Copy 2 (Yellow – Transporter) and transports waste to approved facility.</w:t>
            </w:r>
          </w:p>
        </w:tc>
      </w:tr>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STEP 3 — DISPOSAL</w:t>
            </w:r>
          </w:p>
        </w:tc>
        <w:tc>
          <w:tcPr>
            <w:tcW w:type="dxa" w:w="7143"/>
            <w:tcMar>
              <w:top w:w="60" w:type="dxa"/>
              <w:bottom w:w="60" w:type="dxa"/>
              <w:start w:w="110" w:type="dxa"/>
              <w:end w:w="110" w:type="dxa"/>
            </w:tcMar>
          </w:tcPr>
          <w:p>
            <w:pPr>
              <w:spacing w:after="40" w:before="20"/>
            </w:pPr>
            <w:r>
              <w:rPr>
                <w:rFonts w:ascii="Calibri" w:hAnsi="Calibri"/>
                <w:b w:val="0"/>
                <w:i w:val="0"/>
                <w:color w:val="222A2E"/>
                <w:sz w:val="20"/>
              </w:rPr>
              <w:t>Ministry of Environment Licensed Landfill signs Copy 3 (Green – Facility Return) confirming legal disposal.</w:t>
            </w:r>
          </w:p>
        </w:tc>
      </w:tr>
      <w:tr>
        <w:tc>
          <w:tcPr>
            <w:tcW w:type="dxa" w:w="2721"/>
            <w:tcMar>
              <w:top w:w="60" w:type="dxa"/>
              <w:bottom w:w="60" w:type="dxa"/>
              <w:start w:w="110" w:type="dxa"/>
              <w:end w:w="110" w:type="dxa"/>
            </w:tcMar>
            <w:shd w:val="clear" w:color="auto" w:fill="DCEFF1"/>
            <w:vAlign w:val="center"/>
          </w:tcPr>
          <w:p>
            <w:pPr>
              <w:spacing w:after="40" w:before="20"/>
            </w:pPr>
            <w:r>
              <w:rPr>
                <w:rFonts w:ascii="Calibri" w:hAnsi="Calibri"/>
                <w:b/>
                <w:i w:val="0"/>
                <w:color w:val="003B4A"/>
                <w:sz w:val="19"/>
              </w:rPr>
              <w:t>STEP 4 — ARCHIVE</w:t>
            </w:r>
          </w:p>
        </w:tc>
        <w:tc>
          <w:tcPr>
            <w:tcW w:type="dxa" w:w="7143"/>
            <w:tcMar>
              <w:top w:w="60" w:type="dxa"/>
              <w:bottom w:w="60" w:type="dxa"/>
              <w:start w:w="110" w:type="dxa"/>
              <w:end w:w="110" w:type="dxa"/>
            </w:tcMar>
            <w:shd w:val="clear" w:color="auto" w:fill="F7FBFB"/>
          </w:tcPr>
          <w:p>
            <w:pPr>
              <w:spacing w:after="40" w:before="20"/>
            </w:pPr>
            <w:r>
              <w:rPr>
                <w:rFonts w:ascii="Calibri" w:hAnsi="Calibri"/>
                <w:b w:val="0"/>
                <w:i w:val="0"/>
                <w:color w:val="222A2E"/>
                <w:sz w:val="20"/>
              </w:rPr>
              <w:t>Signed Copy 3 returned to Siemens Energy EHS Manager within 48 hours for auditing and MoE reporting.</w:t>
            </w:r>
          </w:p>
        </w:tc>
      </w:tr>
    </w:tbl>
    <w:p>
      <w:pPr>
        <w:keepNext/>
        <w:spacing w:before="160" w:after="80"/>
      </w:pPr>
      <w:r>
        <w:rPr>
          <w:rFonts w:ascii="Calibri" w:hAnsi="Calibri"/>
          <w:b/>
          <w:color w:val="007E8C"/>
          <w:sz w:val="22"/>
        </w:rPr>
        <w:t>6.3 Project-Specific Waste Inventory</w:t>
      </w:r>
    </w:p>
    <w:p>
      <w:pPr>
        <w:spacing w:after="80"/>
      </w:pPr>
      <w:r>
        <w:rPr>
          <w:rFonts w:ascii="Calibri" w:hAnsi="Calibri"/>
          <w:color w:val="222A2E"/>
          <w:sz w:val="21"/>
        </w:rPr>
        <w:t>The following project-specific waste inventory identifies each expected waste stream, its classification, the approved disposal route, and the responsible person. It shall be maintained and updated by the EHS Manager as waste streams or disposal arrangements change.</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2494"/>
        <w:gridCol w:w="1700"/>
        <w:gridCol w:w="3628"/>
        <w:gridCol w:w="2040"/>
      </w:tblGrid>
      <w:tr>
        <w:tc>
          <w:tcPr>
            <w:tcW w:type="dxa" w:w="2494"/>
            <w:tcMar>
              <w:top w:w="60" w:type="dxa"/>
              <w:bottom w:w="60" w:type="dxa"/>
              <w:start w:w="110" w:type="dxa"/>
              <w:end w:w="110" w:type="dxa"/>
            </w:tcMar>
            <w:shd w:val="clear" w:color="auto" w:fill="007E8C"/>
          </w:tcPr>
          <w:p>
            <w:pPr>
              <w:spacing w:after="40" w:before="20"/>
              <w:jc w:val="center"/>
            </w:pPr>
            <w:r>
              <w:rPr>
                <w:rFonts w:ascii="Calibri" w:hAnsi="Calibri"/>
                <w:b/>
                <w:i w:val="0"/>
                <w:color w:val="FFFFFF"/>
                <w:sz w:val="18"/>
              </w:rPr>
              <w:t>Waste Type</w:t>
            </w:r>
          </w:p>
        </w:tc>
        <w:tc>
          <w:tcPr>
            <w:tcW w:type="dxa" w:w="1701"/>
            <w:tcMar>
              <w:top w:w="60" w:type="dxa"/>
              <w:bottom w:w="60" w:type="dxa"/>
              <w:start w:w="110" w:type="dxa"/>
              <w:end w:w="110" w:type="dxa"/>
            </w:tcMar>
            <w:shd w:val="clear" w:color="auto" w:fill="007E8C"/>
          </w:tcPr>
          <w:p>
            <w:pPr>
              <w:spacing w:after="40" w:before="20"/>
              <w:jc w:val="center"/>
            </w:pPr>
            <w:r>
              <w:rPr>
                <w:rFonts w:ascii="Calibri" w:hAnsi="Calibri"/>
                <w:b/>
                <w:i w:val="0"/>
                <w:color w:val="FFFFFF"/>
                <w:sz w:val="18"/>
              </w:rPr>
              <w:t>Classification</w:t>
            </w:r>
          </w:p>
        </w:tc>
        <w:tc>
          <w:tcPr>
            <w:tcW w:type="dxa" w:w="3628"/>
            <w:tcMar>
              <w:top w:w="60" w:type="dxa"/>
              <w:bottom w:w="60" w:type="dxa"/>
              <w:start w:w="110" w:type="dxa"/>
              <w:end w:w="110" w:type="dxa"/>
            </w:tcMar>
            <w:shd w:val="clear" w:color="auto" w:fill="007E8C"/>
          </w:tcPr>
          <w:p>
            <w:pPr>
              <w:spacing w:after="40" w:before="20"/>
              <w:jc w:val="center"/>
            </w:pPr>
            <w:r>
              <w:rPr>
                <w:rFonts w:ascii="Calibri" w:hAnsi="Calibri"/>
                <w:b/>
                <w:i w:val="0"/>
                <w:color w:val="FFFFFF"/>
                <w:sz w:val="18"/>
              </w:rPr>
              <w:t>Disposal Route</w:t>
            </w:r>
          </w:p>
        </w:tc>
        <w:tc>
          <w:tcPr>
            <w:tcW w:type="dxa" w:w="2041"/>
            <w:tcMar>
              <w:top w:w="60" w:type="dxa"/>
              <w:bottom w:w="60" w:type="dxa"/>
              <w:start w:w="110" w:type="dxa"/>
              <w:end w:w="110" w:type="dxa"/>
            </w:tcMar>
            <w:shd w:val="clear" w:color="auto" w:fill="007E8C"/>
          </w:tcPr>
          <w:p>
            <w:pPr>
              <w:spacing w:after="40" w:before="20"/>
              <w:jc w:val="center"/>
            </w:pPr>
            <w:r>
              <w:rPr>
                <w:rFonts w:ascii="Calibri" w:hAnsi="Calibri"/>
                <w:b/>
                <w:i w:val="0"/>
                <w:color w:val="FFFFFF"/>
                <w:sz w:val="18"/>
              </w:rPr>
              <w:t>Responsible Person</w:t>
            </w:r>
          </w:p>
        </w:tc>
      </w:tr>
      <w:tr>
        <w:tc>
          <w:tcPr>
            <w:tcW w:type="dxa" w:w="2494"/>
            <w:tcMar>
              <w:top w:w="60" w:type="dxa"/>
              <w:bottom w:w="60" w:type="dxa"/>
              <w:start w:w="110" w:type="dxa"/>
              <w:end w:w="110" w:type="dxa"/>
            </w:tcMar>
          </w:tcPr>
          <w:p>
            <w:pPr>
              <w:spacing w:after="40" w:before="20"/>
            </w:pPr>
            <w:r>
              <w:rPr>
                <w:rFonts w:ascii="Calibri" w:hAnsi="Calibri"/>
                <w:b/>
                <w:i w:val="0"/>
                <w:color w:val="003B4A"/>
                <w:sz w:val="18"/>
              </w:rPr>
              <w:t>Oily rags, used filters, empty chemical cans, batteries, contaminated soil</w:t>
            </w:r>
          </w:p>
        </w:tc>
        <w:tc>
          <w:tcPr>
            <w:tcW w:type="dxa" w:w="1701"/>
            <w:tcMar>
              <w:top w:w="60" w:type="dxa"/>
              <w:bottom w:w="60" w:type="dxa"/>
              <w:start w:w="110" w:type="dxa"/>
              <w:end w:w="110" w:type="dxa"/>
            </w:tcMar>
          </w:tcPr>
          <w:p>
            <w:pPr>
              <w:spacing w:after="40" w:before="20"/>
            </w:pPr>
            <w:r>
              <w:rPr>
                <w:rFonts w:ascii="Calibri" w:hAnsi="Calibri"/>
                <w:b w:val="0"/>
                <w:i w:val="0"/>
                <w:color w:val="222A2E"/>
                <w:sz w:val="18"/>
              </w:rPr>
              <w:t>Hazardous waste</w:t>
            </w:r>
          </w:p>
        </w:tc>
        <w:tc>
          <w:tcPr>
            <w:tcW w:type="dxa" w:w="3628"/>
            <w:tcMar>
              <w:top w:w="60" w:type="dxa"/>
              <w:bottom w:w="60" w:type="dxa"/>
              <w:start w:w="110" w:type="dxa"/>
              <w:end w:w="110" w:type="dxa"/>
            </w:tcMar>
          </w:tcPr>
          <w:p>
            <w:pPr>
              <w:spacing w:after="40" w:before="20"/>
            </w:pPr>
            <w:r>
              <w:rPr>
                <w:rFonts w:ascii="Calibri" w:hAnsi="Calibri"/>
                <w:b w:val="0"/>
                <w:i w:val="0"/>
                <w:color w:val="222A2E"/>
                <w:sz w:val="18"/>
              </w:rPr>
              <w:t>RED skip → licensed hazardous-waste facility approved by the Iraqi Ministry of Environment</w:t>
            </w:r>
          </w:p>
        </w:tc>
        <w:tc>
          <w:tcPr>
            <w:tcW w:type="dxa" w:w="2041"/>
            <w:tcMar>
              <w:top w:w="60" w:type="dxa"/>
              <w:bottom w:w="60" w:type="dxa"/>
              <w:start w:w="110" w:type="dxa"/>
              <w:end w:w="110" w:type="dxa"/>
            </w:tcMar>
          </w:tcPr>
          <w:p>
            <w:pPr>
              <w:spacing w:after="40" w:before="20"/>
            </w:pPr>
            <w:r>
              <w:rPr>
                <w:rFonts w:ascii="Calibri" w:hAnsi="Calibri"/>
                <w:b w:val="0"/>
                <w:i w:val="0"/>
                <w:color w:val="222A2E"/>
                <w:sz w:val="18"/>
              </w:rPr>
              <w:t>EHS Manager</w:t>
            </w:r>
          </w:p>
        </w:tc>
      </w:tr>
      <w:tr>
        <w:tc>
          <w:tcPr>
            <w:tcW w:type="dxa" w:w="2494"/>
            <w:tcMar>
              <w:top w:w="60" w:type="dxa"/>
              <w:bottom w:w="60" w:type="dxa"/>
              <w:start w:w="110" w:type="dxa"/>
              <w:end w:w="110" w:type="dxa"/>
            </w:tcMar>
            <w:shd w:val="clear" w:color="auto" w:fill="EAF4F5"/>
          </w:tcPr>
          <w:p>
            <w:pPr>
              <w:spacing w:after="40" w:before="20"/>
            </w:pPr>
            <w:r>
              <w:rPr>
                <w:rFonts w:ascii="Calibri" w:hAnsi="Calibri"/>
                <w:b/>
                <w:i w:val="0"/>
                <w:color w:val="003B4A"/>
                <w:sz w:val="18"/>
              </w:rPr>
              <w:t>Waste oil &amp; hydrocarbon liquids (drip trays, spill recovery)</w:t>
            </w:r>
          </w:p>
        </w:tc>
        <w:tc>
          <w:tcPr>
            <w:tcW w:type="dxa" w:w="170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Hazardous waste</w:t>
            </w:r>
          </w:p>
        </w:tc>
        <w:tc>
          <w:tcPr>
            <w:tcW w:type="dxa" w:w="3628"/>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Dedicated sealed drums → licensed oil-recycling / authorized disposal facility</w:t>
            </w:r>
          </w:p>
        </w:tc>
        <w:tc>
          <w:tcPr>
            <w:tcW w:type="dxa" w:w="204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EHS Manager</w:t>
            </w:r>
          </w:p>
        </w:tc>
      </w:tr>
      <w:tr>
        <w:tc>
          <w:tcPr>
            <w:tcW w:type="dxa" w:w="2494"/>
            <w:tcMar>
              <w:top w:w="60" w:type="dxa"/>
              <w:bottom w:w="60" w:type="dxa"/>
              <w:start w:w="110" w:type="dxa"/>
              <w:end w:w="110" w:type="dxa"/>
            </w:tcMar>
          </w:tcPr>
          <w:p>
            <w:pPr>
              <w:spacing w:after="40" w:before="20"/>
            </w:pPr>
            <w:r>
              <w:rPr>
                <w:rFonts w:ascii="Calibri" w:hAnsi="Calibri"/>
                <w:b/>
                <w:i w:val="0"/>
                <w:color w:val="003B4A"/>
                <w:sz w:val="18"/>
              </w:rPr>
              <w:t>Concrete washout sludge (cured)</w:t>
            </w:r>
          </w:p>
        </w:tc>
        <w:tc>
          <w:tcPr>
            <w:tcW w:type="dxa" w:w="1701"/>
            <w:tcMar>
              <w:top w:w="60" w:type="dxa"/>
              <w:bottom w:w="60" w:type="dxa"/>
              <w:start w:w="110" w:type="dxa"/>
              <w:end w:w="110" w:type="dxa"/>
            </w:tcMar>
          </w:tcPr>
          <w:p>
            <w:pPr>
              <w:spacing w:after="40" w:before="20"/>
            </w:pPr>
            <w:r>
              <w:rPr>
                <w:rFonts w:ascii="Calibri" w:hAnsi="Calibri"/>
                <w:b w:val="0"/>
                <w:i w:val="0"/>
                <w:color w:val="222A2E"/>
                <w:sz w:val="18"/>
              </w:rPr>
              <w:t>Inert construction waste</w:t>
            </w:r>
          </w:p>
        </w:tc>
        <w:tc>
          <w:tcPr>
            <w:tcW w:type="dxa" w:w="3628"/>
            <w:tcMar>
              <w:top w:w="60" w:type="dxa"/>
              <w:bottom w:w="60" w:type="dxa"/>
              <w:start w:w="110" w:type="dxa"/>
              <w:end w:w="110" w:type="dxa"/>
            </w:tcMar>
          </w:tcPr>
          <w:p>
            <w:pPr>
              <w:spacing w:after="40" w:before="20"/>
            </w:pPr>
            <w:r>
              <w:rPr>
                <w:rFonts w:ascii="Calibri" w:hAnsi="Calibri"/>
                <w:b w:val="0"/>
                <w:i w:val="0"/>
                <w:color w:val="222A2E"/>
                <w:sz w:val="18"/>
              </w:rPr>
              <w:t>HEAVY skip → approved inert landfill / reuse</w:t>
            </w:r>
          </w:p>
        </w:tc>
        <w:tc>
          <w:tcPr>
            <w:tcW w:type="dxa" w:w="2041"/>
            <w:tcMar>
              <w:top w:w="60" w:type="dxa"/>
              <w:bottom w:w="60" w:type="dxa"/>
              <w:start w:w="110" w:type="dxa"/>
              <w:end w:w="110" w:type="dxa"/>
            </w:tcMar>
          </w:tcPr>
          <w:p>
            <w:pPr>
              <w:spacing w:after="40" w:before="20"/>
            </w:pPr>
            <w:r>
              <w:rPr>
                <w:rFonts w:ascii="Calibri" w:hAnsi="Calibri"/>
                <w:b w:val="0"/>
                <w:i w:val="0"/>
                <w:color w:val="222A2E"/>
                <w:sz w:val="18"/>
              </w:rPr>
              <w:t>Site EHS Officer</w:t>
            </w:r>
          </w:p>
        </w:tc>
      </w:tr>
      <w:tr>
        <w:tc>
          <w:tcPr>
            <w:tcW w:type="dxa" w:w="2494"/>
            <w:tcMar>
              <w:top w:w="60" w:type="dxa"/>
              <w:bottom w:w="60" w:type="dxa"/>
              <w:start w:w="110" w:type="dxa"/>
              <w:end w:w="110" w:type="dxa"/>
            </w:tcMar>
            <w:shd w:val="clear" w:color="auto" w:fill="EAF4F5"/>
          </w:tcPr>
          <w:p>
            <w:pPr>
              <w:spacing w:after="40" w:before="20"/>
            </w:pPr>
            <w:r>
              <w:rPr>
                <w:rFonts w:ascii="Calibri" w:hAnsi="Calibri"/>
                <w:b/>
                <w:i w:val="0"/>
                <w:color w:val="003B4A"/>
                <w:sz w:val="18"/>
              </w:rPr>
              <w:t>Scrap steel, rebar offcuts, timber pallets, concrete rubble</w:t>
            </w:r>
          </w:p>
        </w:tc>
        <w:tc>
          <w:tcPr>
            <w:tcW w:type="dxa" w:w="170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Inert construction waste</w:t>
            </w:r>
          </w:p>
        </w:tc>
        <w:tc>
          <w:tcPr>
            <w:tcW w:type="dxa" w:w="3628"/>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HEAVY skip → approved recycler / inert landfill</w:t>
            </w:r>
          </w:p>
        </w:tc>
        <w:tc>
          <w:tcPr>
            <w:tcW w:type="dxa" w:w="204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Site EHS Officer</w:t>
            </w:r>
          </w:p>
        </w:tc>
      </w:tr>
      <w:tr>
        <w:tc>
          <w:tcPr>
            <w:tcW w:type="dxa" w:w="2494"/>
            <w:tcMar>
              <w:top w:w="60" w:type="dxa"/>
              <w:bottom w:w="60" w:type="dxa"/>
              <w:start w:w="110" w:type="dxa"/>
              <w:end w:w="110" w:type="dxa"/>
            </w:tcMar>
          </w:tcPr>
          <w:p>
            <w:pPr>
              <w:spacing w:after="40" w:before="20"/>
            </w:pPr>
            <w:r>
              <w:rPr>
                <w:rFonts w:ascii="Calibri" w:hAnsi="Calibri"/>
                <w:b/>
                <w:i w:val="0"/>
                <w:color w:val="003B4A"/>
                <w:sz w:val="18"/>
              </w:rPr>
              <w:t>Paper, cardboard &amp; office documentation</w:t>
            </w:r>
          </w:p>
        </w:tc>
        <w:tc>
          <w:tcPr>
            <w:tcW w:type="dxa" w:w="1701"/>
            <w:tcMar>
              <w:top w:w="60" w:type="dxa"/>
              <w:bottom w:w="60" w:type="dxa"/>
              <w:start w:w="110" w:type="dxa"/>
              <w:end w:w="110" w:type="dxa"/>
            </w:tcMar>
          </w:tcPr>
          <w:p>
            <w:pPr>
              <w:spacing w:after="40" w:before="20"/>
            </w:pPr>
            <w:r>
              <w:rPr>
                <w:rFonts w:ascii="Calibri" w:hAnsi="Calibri"/>
                <w:b w:val="0"/>
                <w:i w:val="0"/>
                <w:color w:val="222A2E"/>
                <w:sz w:val="18"/>
              </w:rPr>
              <w:t>Recyclable (non-hazardous)</w:t>
            </w:r>
          </w:p>
        </w:tc>
        <w:tc>
          <w:tcPr>
            <w:tcW w:type="dxa" w:w="3628"/>
            <w:tcMar>
              <w:top w:w="60" w:type="dxa"/>
              <w:bottom w:w="60" w:type="dxa"/>
              <w:start w:w="110" w:type="dxa"/>
              <w:end w:w="110" w:type="dxa"/>
            </w:tcMar>
          </w:tcPr>
          <w:p>
            <w:pPr>
              <w:spacing w:after="40" w:before="20"/>
            </w:pPr>
            <w:r>
              <w:rPr>
                <w:rFonts w:ascii="Calibri" w:hAnsi="Calibri"/>
                <w:b w:val="0"/>
                <w:i w:val="0"/>
                <w:color w:val="222A2E"/>
                <w:sz w:val="18"/>
              </w:rPr>
              <w:t>BLUE skip → licensed recycler</w:t>
            </w:r>
          </w:p>
        </w:tc>
        <w:tc>
          <w:tcPr>
            <w:tcW w:type="dxa" w:w="2041"/>
            <w:tcMar>
              <w:top w:w="60" w:type="dxa"/>
              <w:bottom w:w="60" w:type="dxa"/>
              <w:start w:w="110" w:type="dxa"/>
              <w:end w:w="110" w:type="dxa"/>
            </w:tcMar>
          </w:tcPr>
          <w:p>
            <w:pPr>
              <w:spacing w:after="40" w:before="20"/>
            </w:pPr>
            <w:r>
              <w:rPr>
                <w:rFonts w:ascii="Calibri" w:hAnsi="Calibri"/>
                <w:b w:val="0"/>
                <w:i w:val="0"/>
                <w:color w:val="222A2E"/>
                <w:sz w:val="18"/>
              </w:rPr>
              <w:t>Site EHS Officer</w:t>
            </w:r>
          </w:p>
        </w:tc>
      </w:tr>
      <w:tr>
        <w:tc>
          <w:tcPr>
            <w:tcW w:type="dxa" w:w="2494"/>
            <w:tcMar>
              <w:top w:w="60" w:type="dxa"/>
              <w:bottom w:w="60" w:type="dxa"/>
              <w:start w:w="110" w:type="dxa"/>
              <w:end w:w="110" w:type="dxa"/>
            </w:tcMar>
            <w:shd w:val="clear" w:color="auto" w:fill="EAF4F5"/>
          </w:tcPr>
          <w:p>
            <w:pPr>
              <w:spacing w:after="40" w:before="20"/>
            </w:pPr>
            <w:r>
              <w:rPr>
                <w:rFonts w:ascii="Calibri" w:hAnsi="Calibri"/>
                <w:b/>
                <w:i w:val="0"/>
                <w:color w:val="003B4A"/>
                <w:sz w:val="18"/>
              </w:rPr>
              <w:t>Plastics (HDPE drums, PE sheeting, PET bottles)</w:t>
            </w:r>
          </w:p>
        </w:tc>
        <w:tc>
          <w:tcPr>
            <w:tcW w:type="dxa" w:w="170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Recyclable (non-hazardous)</w:t>
            </w:r>
          </w:p>
        </w:tc>
        <w:tc>
          <w:tcPr>
            <w:tcW w:type="dxa" w:w="3628"/>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YELLOW skip → licensed recycler</w:t>
            </w:r>
          </w:p>
        </w:tc>
        <w:tc>
          <w:tcPr>
            <w:tcW w:type="dxa" w:w="204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Site EHS Officer</w:t>
            </w:r>
          </w:p>
        </w:tc>
      </w:tr>
      <w:tr>
        <w:tc>
          <w:tcPr>
            <w:tcW w:type="dxa" w:w="2494"/>
            <w:tcMar>
              <w:top w:w="60" w:type="dxa"/>
              <w:bottom w:w="60" w:type="dxa"/>
              <w:start w:w="110" w:type="dxa"/>
              <w:end w:w="110" w:type="dxa"/>
            </w:tcMar>
          </w:tcPr>
          <w:p>
            <w:pPr>
              <w:spacing w:after="40" w:before="20"/>
            </w:pPr>
            <w:r>
              <w:rPr>
                <w:rFonts w:ascii="Calibri" w:hAnsi="Calibri"/>
                <w:b/>
                <w:i w:val="0"/>
                <w:color w:val="003B4A"/>
                <w:sz w:val="18"/>
              </w:rPr>
              <w:t>Domestic / general refuse (mess hall, offices)</w:t>
            </w:r>
          </w:p>
        </w:tc>
        <w:tc>
          <w:tcPr>
            <w:tcW w:type="dxa" w:w="1701"/>
            <w:tcMar>
              <w:top w:w="60" w:type="dxa"/>
              <w:bottom w:w="60" w:type="dxa"/>
              <w:start w:w="110" w:type="dxa"/>
              <w:end w:w="110" w:type="dxa"/>
            </w:tcMar>
          </w:tcPr>
          <w:p>
            <w:pPr>
              <w:spacing w:after="40" w:before="20"/>
            </w:pPr>
            <w:r>
              <w:rPr>
                <w:rFonts w:ascii="Calibri" w:hAnsi="Calibri"/>
                <w:b w:val="0"/>
                <w:i w:val="0"/>
                <w:color w:val="222A2E"/>
                <w:sz w:val="18"/>
              </w:rPr>
              <w:t>Municipal solid waste</w:t>
            </w:r>
          </w:p>
        </w:tc>
        <w:tc>
          <w:tcPr>
            <w:tcW w:type="dxa" w:w="3628"/>
            <w:tcMar>
              <w:top w:w="60" w:type="dxa"/>
              <w:bottom w:w="60" w:type="dxa"/>
              <w:start w:w="110" w:type="dxa"/>
              <w:end w:w="110" w:type="dxa"/>
            </w:tcMar>
          </w:tcPr>
          <w:p>
            <w:pPr>
              <w:spacing w:after="40" w:before="20"/>
            </w:pPr>
            <w:r>
              <w:rPr>
                <w:rFonts w:ascii="Calibri" w:hAnsi="Calibri"/>
                <w:b w:val="0"/>
                <w:i w:val="0"/>
                <w:color w:val="222A2E"/>
                <w:sz w:val="18"/>
              </w:rPr>
              <w:t>Covered bins → municipal collection service</w:t>
            </w:r>
          </w:p>
        </w:tc>
        <w:tc>
          <w:tcPr>
            <w:tcW w:type="dxa" w:w="2041"/>
            <w:tcMar>
              <w:top w:w="60" w:type="dxa"/>
              <w:bottom w:w="60" w:type="dxa"/>
              <w:start w:w="110" w:type="dxa"/>
              <w:end w:w="110" w:type="dxa"/>
            </w:tcMar>
          </w:tcPr>
          <w:p>
            <w:pPr>
              <w:spacing w:after="40" w:before="20"/>
            </w:pPr>
            <w:r>
              <w:rPr>
                <w:rFonts w:ascii="Calibri" w:hAnsi="Calibri"/>
                <w:b w:val="0"/>
                <w:i w:val="0"/>
                <w:color w:val="222A2E"/>
                <w:sz w:val="18"/>
              </w:rPr>
              <w:t>Site EHS Officer</w:t>
            </w:r>
          </w:p>
        </w:tc>
      </w:tr>
      <w:tr>
        <w:tc>
          <w:tcPr>
            <w:tcW w:type="dxa" w:w="2494"/>
            <w:tcMar>
              <w:top w:w="60" w:type="dxa"/>
              <w:bottom w:w="60" w:type="dxa"/>
              <w:start w:w="110" w:type="dxa"/>
              <w:end w:w="110" w:type="dxa"/>
            </w:tcMar>
            <w:shd w:val="clear" w:color="auto" w:fill="EAF4F5"/>
          </w:tcPr>
          <w:p>
            <w:pPr>
              <w:spacing w:after="40" w:before="20"/>
            </w:pPr>
            <w:r>
              <w:rPr>
                <w:rFonts w:ascii="Calibri" w:hAnsi="Calibri"/>
                <w:b/>
                <w:i w:val="0"/>
                <w:color w:val="003B4A"/>
                <w:sz w:val="18"/>
              </w:rPr>
              <w:t>Septic tank sludge / sewage</w:t>
            </w:r>
          </w:p>
        </w:tc>
        <w:tc>
          <w:tcPr>
            <w:tcW w:type="dxa" w:w="170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Liquid waste</w:t>
            </w:r>
          </w:p>
        </w:tc>
        <w:tc>
          <w:tcPr>
            <w:tcW w:type="dxa" w:w="3628"/>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Licensed municipal vacuum tanker → approved treatment facility</w:t>
            </w:r>
          </w:p>
        </w:tc>
        <w:tc>
          <w:tcPr>
            <w:tcW w:type="dxa" w:w="2041"/>
            <w:tcMar>
              <w:top w:w="60" w:type="dxa"/>
              <w:bottom w:w="60" w:type="dxa"/>
              <w:start w:w="110" w:type="dxa"/>
              <w:end w:w="110" w:type="dxa"/>
            </w:tcMar>
            <w:shd w:val="clear" w:color="auto" w:fill="EAF4F5"/>
          </w:tcPr>
          <w:p>
            <w:pPr>
              <w:spacing w:after="40" w:before="20"/>
            </w:pPr>
            <w:r>
              <w:rPr>
                <w:rFonts w:ascii="Calibri" w:hAnsi="Calibri"/>
                <w:b w:val="0"/>
                <w:i w:val="0"/>
                <w:color w:val="222A2E"/>
                <w:sz w:val="18"/>
              </w:rPr>
              <w:t>EHS Manager</w:t>
            </w:r>
          </w:p>
        </w:tc>
      </w:tr>
      <w:tr>
        <w:tc>
          <w:tcPr>
            <w:tcW w:type="dxa" w:w="2494"/>
            <w:tcMar>
              <w:top w:w="60" w:type="dxa"/>
              <w:bottom w:w="60" w:type="dxa"/>
              <w:start w:w="110" w:type="dxa"/>
              <w:end w:w="110" w:type="dxa"/>
            </w:tcMar>
          </w:tcPr>
          <w:p>
            <w:pPr>
              <w:spacing w:after="40" w:before="20"/>
            </w:pPr>
            <w:r>
              <w:rPr>
                <w:rFonts w:ascii="Calibri" w:hAnsi="Calibri"/>
                <w:b/>
                <w:i w:val="0"/>
                <w:color w:val="003B4A"/>
                <w:sz w:val="18"/>
              </w:rPr>
              <w:t>Neutralized concrete wash water</w:t>
            </w:r>
          </w:p>
        </w:tc>
        <w:tc>
          <w:tcPr>
            <w:tcW w:type="dxa" w:w="1701"/>
            <w:tcMar>
              <w:top w:w="60" w:type="dxa"/>
              <w:bottom w:w="60" w:type="dxa"/>
              <w:start w:w="110" w:type="dxa"/>
              <w:end w:w="110" w:type="dxa"/>
            </w:tcMar>
          </w:tcPr>
          <w:p>
            <w:pPr>
              <w:spacing w:after="40" w:before="20"/>
            </w:pPr>
            <w:r>
              <w:rPr>
                <w:rFonts w:ascii="Calibri" w:hAnsi="Calibri"/>
                <w:b w:val="0"/>
                <w:i w:val="0"/>
                <w:color w:val="222A2E"/>
                <w:sz w:val="18"/>
              </w:rPr>
              <w:t>Process water</w:t>
            </w:r>
          </w:p>
        </w:tc>
        <w:tc>
          <w:tcPr>
            <w:tcW w:type="dxa" w:w="3628"/>
            <w:tcMar>
              <w:top w:w="60" w:type="dxa"/>
              <w:bottom w:w="60" w:type="dxa"/>
              <w:start w:w="110" w:type="dxa"/>
              <w:end w:w="110" w:type="dxa"/>
            </w:tcMar>
          </w:tcPr>
          <w:p>
            <w:pPr>
              <w:spacing w:after="40" w:before="20"/>
            </w:pPr>
            <w:r>
              <w:rPr>
                <w:rFonts w:ascii="Calibri" w:hAnsi="Calibri"/>
                <w:b w:val="0"/>
                <w:i w:val="0"/>
                <w:color w:val="222A2E"/>
                <w:sz w:val="18"/>
              </w:rPr>
              <w:t>Re-used for dust suppression or discharged within MoE limits</w:t>
            </w:r>
          </w:p>
        </w:tc>
        <w:tc>
          <w:tcPr>
            <w:tcW w:type="dxa" w:w="2041"/>
            <w:tcMar>
              <w:top w:w="60" w:type="dxa"/>
              <w:bottom w:w="60" w:type="dxa"/>
              <w:start w:w="110" w:type="dxa"/>
              <w:end w:w="110" w:type="dxa"/>
            </w:tcMar>
          </w:tcPr>
          <w:p>
            <w:pPr>
              <w:spacing w:after="40" w:before="20"/>
            </w:pPr>
            <w:r>
              <w:rPr>
                <w:rFonts w:ascii="Calibri" w:hAnsi="Calibri"/>
                <w:b w:val="0"/>
                <w:i w:val="0"/>
                <w:color w:val="222A2E"/>
                <w:sz w:val="18"/>
              </w:rPr>
              <w:t>Site EHS Officer</w:t>
            </w:r>
          </w:p>
        </w:tc>
      </w:tr>
    </w:tbl>
    <w:p>
      <w:pPr>
        <w:keepNext/>
        <w:spacing w:before="160" w:after="80"/>
      </w:pPr>
      <w:r>
        <w:rPr>
          <w:rFonts w:ascii="Calibri" w:hAnsi="Calibri"/>
          <w:b/>
          <w:color w:val="007E8C"/>
          <w:sz w:val="22"/>
        </w:rPr>
        <w:t>6.4 Waste Transporter &amp; Disposal Facility License Verification</w:t>
      </w:r>
    </w:p>
    <w:p>
      <w:pPr>
        <w:spacing w:after="60"/>
        <w:ind w:left="283" w:hanging="283"/>
      </w:pPr>
      <w:r>
        <w:rPr>
          <w:rFonts w:ascii="Calibri" w:hAnsi="Calibri"/>
          <w:b/>
          <w:color w:val="007E8C"/>
          <w:sz w:val="21"/>
        </w:rPr>
        <w:t xml:space="preserve">▪  </w:t>
      </w:r>
      <w:r>
        <w:rPr>
          <w:rFonts w:ascii="Calibri" w:hAnsi="Calibri"/>
          <w:color w:val="222A2E"/>
          <w:sz w:val="21"/>
        </w:rPr>
        <w:t>Before the first use of any waste transporter or disposal facility, the EHS Manager shall obtain and verify copies of valid licenses / permits issued by the Iraqi Ministry of Environment (or the competent authority) for both the transporter and the receiving facility.</w:t>
      </w:r>
    </w:p>
    <w:p>
      <w:pPr>
        <w:spacing w:after="60"/>
        <w:ind w:left="283" w:hanging="283"/>
      </w:pPr>
      <w:r>
        <w:rPr>
          <w:rFonts w:ascii="Calibri" w:hAnsi="Calibri"/>
          <w:b/>
          <w:color w:val="007E8C"/>
          <w:sz w:val="21"/>
        </w:rPr>
        <w:t xml:space="preserve">▪  </w:t>
      </w:r>
      <w:r>
        <w:rPr>
          <w:rFonts w:ascii="Calibri" w:hAnsi="Calibri"/>
          <w:color w:val="222A2E"/>
          <w:sz w:val="21"/>
        </w:rPr>
        <w:t>Verification includes checking license validity and expiry dates, the scope of authorized waste types, and facility permit conditions. No waste shipment may proceed to an unverified, suspended, or expired vendor.</w:t>
      </w:r>
    </w:p>
    <w:p>
      <w:pPr>
        <w:spacing w:after="60"/>
        <w:ind w:left="283" w:hanging="283"/>
      </w:pPr>
      <w:r>
        <w:rPr>
          <w:rFonts w:ascii="Calibri" w:hAnsi="Calibri"/>
          <w:b/>
          <w:color w:val="007E8C"/>
          <w:sz w:val="21"/>
        </w:rPr>
        <w:t xml:space="preserve">▪  </w:t>
      </w:r>
      <w:r>
        <w:rPr>
          <w:rFonts w:ascii="Calibri" w:hAnsi="Calibri"/>
          <w:color w:val="222A2E"/>
          <w:sz w:val="21"/>
        </w:rPr>
        <w:t>Only vendors listed in the Approved Waste Vendors Register may be used. The register, together with verified license copies, is filed with the waste manifests for auditing.</w:t>
      </w:r>
    </w:p>
    <w:p>
      <w:pPr>
        <w:spacing w:after="60"/>
        <w:ind w:left="283" w:hanging="283"/>
      </w:pPr>
      <w:r>
        <w:rPr>
          <w:rFonts w:ascii="Calibri" w:hAnsi="Calibri"/>
          <w:b/>
          <w:color w:val="007E8C"/>
          <w:sz w:val="21"/>
        </w:rPr>
        <w:t xml:space="preserve">▪  </w:t>
      </w:r>
      <w:r>
        <w:rPr>
          <w:rFonts w:ascii="Calibri" w:hAnsi="Calibri"/>
          <w:color w:val="222A2E"/>
          <w:sz w:val="21"/>
        </w:rPr>
        <w:t>Licenses are re-verified at each renewal and at least annually. Vendors with expired or non-compliant licenses are suspended from the register immediately.</w:t>
      </w:r>
    </w:p>
    <w:p>
      <w:pPr>
        <w:keepNext/>
        <w:spacing w:before="160" w:after="80"/>
      </w:pPr>
      <w:r>
        <w:rPr>
          <w:rFonts w:ascii="Calibri" w:hAnsi="Calibri"/>
          <w:b/>
          <w:color w:val="007E8C"/>
          <w:sz w:val="22"/>
        </w:rPr>
        <w:t>6.5 Record Retention</w:t>
      </w:r>
    </w:p>
    <w:p>
      <w:pPr>
        <w:spacing w:after="80"/>
      </w:pPr>
      <w:r>
        <w:rPr>
          <w:rFonts w:ascii="Calibri" w:hAnsi="Calibri"/>
          <w:color w:val="222A2E"/>
          <w:sz w:val="21"/>
        </w:rPr>
        <w:t>Environmental documentation shall be retained for the following minimum periods, consistent with Iraqi Environmental Law No. 27 (2009) and Siemens Energy EHS Standards:</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6803"/>
        <w:gridCol w:w="3061"/>
      </w:tblGrid>
      <w:tr>
        <w:tc>
          <w:tcPr>
            <w:tcW w:type="dxa" w:w="6803"/>
            <w:tcMar>
              <w:top w:w="60" w:type="dxa"/>
              <w:bottom w:w="60" w:type="dxa"/>
              <w:start w:w="110" w:type="dxa"/>
              <w:end w:w="110" w:type="dxa"/>
            </w:tcMar>
            <w:shd w:val="clear" w:color="auto" w:fill="007E8C"/>
          </w:tcPr>
          <w:p>
            <w:pPr>
              <w:spacing w:after="40" w:before="20"/>
            </w:pPr>
            <w:r>
              <w:rPr>
                <w:rFonts w:ascii="Calibri" w:hAnsi="Calibri"/>
                <w:b/>
                <w:i w:val="0"/>
                <w:color w:val="FFFFFF"/>
                <w:sz w:val="19"/>
              </w:rPr>
              <w:t>Record Type</w:t>
            </w:r>
          </w:p>
        </w:tc>
        <w:tc>
          <w:tcPr>
            <w:tcW w:type="dxa" w:w="3061"/>
            <w:tcMar>
              <w:top w:w="60" w:type="dxa"/>
              <w:bottom w:w="60" w:type="dxa"/>
              <w:start w:w="110" w:type="dxa"/>
              <w:end w:w="110" w:type="dxa"/>
            </w:tcMar>
            <w:shd w:val="clear" w:color="auto" w:fill="007E8C"/>
          </w:tcPr>
          <w:p>
            <w:pPr>
              <w:spacing w:after="40" w:before="20"/>
            </w:pPr>
            <w:r>
              <w:rPr>
                <w:rFonts w:ascii="Calibri" w:hAnsi="Calibri"/>
                <w:b/>
                <w:i w:val="0"/>
                <w:color w:val="FFFFFF"/>
                <w:sz w:val="19"/>
              </w:rPr>
              <w:t>Minimum Retention Period</w:t>
            </w:r>
          </w:p>
        </w:tc>
      </w:tr>
      <w:tr>
        <w:tc>
          <w:tcPr>
            <w:tcW w:type="dxa" w:w="6803"/>
            <w:tcMar>
              <w:top w:w="60" w:type="dxa"/>
              <w:bottom w:w="60" w:type="dxa"/>
              <w:start w:w="110" w:type="dxa"/>
              <w:end w:w="110" w:type="dxa"/>
            </w:tcMar>
          </w:tcPr>
          <w:p>
            <w:pPr>
              <w:spacing w:after="40" w:before="20"/>
            </w:pPr>
            <w:r>
              <w:rPr>
                <w:rFonts w:ascii="Calibri" w:hAnsi="Calibri"/>
                <w:b w:val="0"/>
                <w:i w:val="0"/>
                <w:color w:val="222A2E"/>
                <w:sz w:val="19"/>
              </w:rPr>
              <w:t>Waste manifests &amp; disposal records (Annex 8)</w:t>
            </w:r>
          </w:p>
        </w:tc>
        <w:tc>
          <w:tcPr>
            <w:tcW w:type="dxa" w:w="3061"/>
            <w:tcMar>
              <w:top w:w="60" w:type="dxa"/>
              <w:bottom w:w="60" w:type="dxa"/>
              <w:start w:w="110" w:type="dxa"/>
              <w:end w:w="110" w:type="dxa"/>
            </w:tcMar>
          </w:tcPr>
          <w:p>
            <w:pPr>
              <w:spacing w:after="40" w:before="20"/>
            </w:pPr>
            <w:r>
              <w:rPr>
                <w:rFonts w:ascii="Calibri" w:hAnsi="Calibri"/>
                <w:b w:val="0"/>
                <w:i w:val="0"/>
                <w:color w:val="222A2E"/>
                <w:sz w:val="19"/>
              </w:rPr>
              <w:t>5 years</w:t>
            </w:r>
          </w:p>
        </w:tc>
      </w:tr>
      <w:tr>
        <w:tc>
          <w:tcPr>
            <w:tcW w:type="dxa" w:w="6803"/>
            <w:tcMar>
              <w:top w:w="60" w:type="dxa"/>
              <w:bottom w:w="60" w:type="dxa"/>
              <w:start w:w="110" w:type="dxa"/>
              <w:end w:w="110" w:type="dxa"/>
            </w:tcMar>
            <w:shd w:val="clear" w:color="auto" w:fill="EAF4F5"/>
          </w:tcPr>
          <w:p>
            <w:pPr>
              <w:spacing w:after="40" w:before="20"/>
            </w:pPr>
            <w:r>
              <w:rPr>
                <w:rFonts w:ascii="Calibri" w:hAnsi="Calibri"/>
                <w:b w:val="0"/>
                <w:i w:val="0"/>
                <w:color w:val="222A2E"/>
                <w:sz w:val="19"/>
              </w:rPr>
              <w:t>Environmental monitoring &amp; laboratory analysis reports (water, air, noise, gas)</w:t>
            </w:r>
          </w:p>
        </w:tc>
        <w:tc>
          <w:tcPr>
            <w:tcW w:type="dxa" w:w="3061"/>
            <w:tcMar>
              <w:top w:w="60" w:type="dxa"/>
              <w:bottom w:w="60" w:type="dxa"/>
              <w:start w:w="110" w:type="dxa"/>
              <w:end w:w="110" w:type="dxa"/>
            </w:tcMar>
            <w:shd w:val="clear" w:color="auto" w:fill="EAF4F5"/>
          </w:tcPr>
          <w:p>
            <w:pPr>
              <w:spacing w:after="40" w:before="20"/>
            </w:pPr>
            <w:r>
              <w:rPr>
                <w:rFonts w:ascii="Calibri" w:hAnsi="Calibri"/>
                <w:b w:val="0"/>
                <w:i w:val="0"/>
                <w:color w:val="222A2E"/>
                <w:sz w:val="19"/>
              </w:rPr>
              <w:t>5 years</w:t>
            </w:r>
          </w:p>
        </w:tc>
      </w:tr>
      <w:tr>
        <w:tc>
          <w:tcPr>
            <w:tcW w:type="dxa" w:w="6803"/>
            <w:tcMar>
              <w:top w:w="60" w:type="dxa"/>
              <w:bottom w:w="60" w:type="dxa"/>
              <w:start w:w="110" w:type="dxa"/>
              <w:end w:w="110" w:type="dxa"/>
            </w:tcMar>
          </w:tcPr>
          <w:p>
            <w:pPr>
              <w:spacing w:after="40" w:before="20"/>
            </w:pPr>
            <w:r>
              <w:rPr>
                <w:rFonts w:ascii="Calibri" w:hAnsi="Calibri"/>
                <w:b w:val="0"/>
                <w:i w:val="0"/>
                <w:color w:val="222A2E"/>
                <w:sz w:val="19"/>
              </w:rPr>
              <w:t>EHS induction, training &amp; toolbox-talk records</w:t>
            </w:r>
          </w:p>
        </w:tc>
        <w:tc>
          <w:tcPr>
            <w:tcW w:type="dxa" w:w="3061"/>
            <w:tcMar>
              <w:top w:w="60" w:type="dxa"/>
              <w:bottom w:w="60" w:type="dxa"/>
              <w:start w:w="110" w:type="dxa"/>
              <w:end w:w="110" w:type="dxa"/>
            </w:tcMar>
          </w:tcPr>
          <w:p>
            <w:pPr>
              <w:spacing w:after="40" w:before="20"/>
            </w:pPr>
            <w:r>
              <w:rPr>
                <w:rFonts w:ascii="Calibri" w:hAnsi="Calibri"/>
                <w:b w:val="0"/>
                <w:i w:val="0"/>
                <w:color w:val="222A2E"/>
                <w:sz w:val="19"/>
              </w:rPr>
              <w:t>Duration of employment + 3 years</w:t>
            </w:r>
          </w:p>
        </w:tc>
      </w:tr>
      <w:tr>
        <w:tc>
          <w:tcPr>
            <w:tcW w:type="dxa" w:w="6803"/>
            <w:tcMar>
              <w:top w:w="60" w:type="dxa"/>
              <w:bottom w:w="60" w:type="dxa"/>
              <w:start w:w="110" w:type="dxa"/>
              <w:end w:w="110" w:type="dxa"/>
            </w:tcMar>
            <w:shd w:val="clear" w:color="auto" w:fill="EAF4F5"/>
          </w:tcPr>
          <w:p>
            <w:pPr>
              <w:spacing w:after="40" w:before="20"/>
            </w:pPr>
            <w:r>
              <w:rPr>
                <w:rFonts w:ascii="Calibri" w:hAnsi="Calibri"/>
                <w:b w:val="0"/>
                <w:i w:val="0"/>
                <w:color w:val="222A2E"/>
                <w:sz w:val="19"/>
              </w:rPr>
              <w:t>Environmental incident &amp; spill response reports</w:t>
            </w:r>
          </w:p>
        </w:tc>
        <w:tc>
          <w:tcPr>
            <w:tcW w:type="dxa" w:w="3061"/>
            <w:tcMar>
              <w:top w:w="60" w:type="dxa"/>
              <w:bottom w:w="60" w:type="dxa"/>
              <w:start w:w="110" w:type="dxa"/>
              <w:end w:w="110" w:type="dxa"/>
            </w:tcMar>
            <w:shd w:val="clear" w:color="auto" w:fill="EAF4F5"/>
          </w:tcPr>
          <w:p>
            <w:pPr>
              <w:spacing w:after="40" w:before="20"/>
            </w:pPr>
            <w:r>
              <w:rPr>
                <w:rFonts w:ascii="Calibri" w:hAnsi="Calibri"/>
                <w:b w:val="0"/>
                <w:i w:val="0"/>
                <w:color w:val="222A2E"/>
                <w:sz w:val="19"/>
              </w:rPr>
              <w:t>5 years</w:t>
            </w:r>
          </w:p>
        </w:tc>
      </w:tr>
      <w:tr>
        <w:tc>
          <w:tcPr>
            <w:tcW w:type="dxa" w:w="6803"/>
            <w:tcMar>
              <w:top w:w="60" w:type="dxa"/>
              <w:bottom w:w="60" w:type="dxa"/>
              <w:start w:w="110" w:type="dxa"/>
              <w:end w:w="110" w:type="dxa"/>
            </w:tcMar>
          </w:tcPr>
          <w:p>
            <w:pPr>
              <w:spacing w:after="40" w:before="20"/>
            </w:pPr>
            <w:r>
              <w:rPr>
                <w:rFonts w:ascii="Calibri" w:hAnsi="Calibri"/>
                <w:b w:val="0"/>
                <w:i w:val="0"/>
                <w:color w:val="222A2E"/>
                <w:sz w:val="19"/>
              </w:rPr>
              <w:t>Transporter / disposal facility license verification records &amp; registers</w:t>
            </w:r>
          </w:p>
        </w:tc>
        <w:tc>
          <w:tcPr>
            <w:tcW w:type="dxa" w:w="3061"/>
            <w:tcMar>
              <w:top w:w="60" w:type="dxa"/>
              <w:bottom w:w="60" w:type="dxa"/>
              <w:start w:w="110" w:type="dxa"/>
              <w:end w:w="110" w:type="dxa"/>
            </w:tcMar>
          </w:tcPr>
          <w:p>
            <w:pPr>
              <w:spacing w:after="40" w:before="20"/>
            </w:pPr>
            <w:r>
              <w:rPr>
                <w:rFonts w:ascii="Calibri" w:hAnsi="Calibri"/>
                <w:b w:val="0"/>
                <w:i w:val="0"/>
                <w:color w:val="222A2E"/>
                <w:sz w:val="19"/>
              </w:rPr>
              <w:t>5 years</w:t>
            </w:r>
          </w:p>
        </w:tc>
      </w:tr>
    </w:tbl>
    <w:p>
      <w:pPr>
        <w:keepNext/>
        <w:spacing w:before="260" w:after="120"/>
        <w:pBdr>
          <w:bottom w:val="single" w:sz="12" w:space="3" w:color="007E8C"/>
        </w:pBdr>
      </w:pPr>
      <w:r>
        <w:rPr>
          <w:rFonts w:ascii="Calibri" w:hAnsi="Calibri"/>
          <w:b/>
          <w:color w:val="003B4A"/>
          <w:sz w:val="25"/>
        </w:rPr>
        <w:t>SECTION 7: EHS TRAINING, TOOLBOX TALKS &amp; FIELD CHECKLISTS</w:t>
      </w:r>
    </w:p>
    <w:p>
      <w:pPr>
        <w:spacing w:after="80"/>
      </w:pPr>
      <w:r>
        <w:rPr>
          <w:rFonts w:ascii="Calibri" w:hAnsi="Calibri"/>
          <w:b/>
          <w:color w:val="003B4A"/>
          <w:sz w:val="21"/>
        </w:rPr>
        <w:t xml:space="preserve">Mandatory Environmental Induction: </w:t>
      </w:r>
      <w:r>
        <w:rPr>
          <w:rFonts w:ascii="Calibri" w:hAnsi="Calibri"/>
          <w:color w:val="222A2E"/>
          <w:sz w:val="21"/>
        </w:rPr>
        <w:t>Every worker entering the KAZ project site must complete a 2-hour EHS Induction covering waste segregation, chemical hazards, spill reporting, and noise controls.</w:t>
      </w:r>
    </w:p>
    <w:p>
      <w:pPr>
        <w:spacing w:after="80"/>
      </w:pPr>
      <w:r>
        <w:rPr>
          <w:rFonts w:ascii="Calibri" w:hAnsi="Calibri"/>
          <w:b/>
          <w:color w:val="003B4A"/>
          <w:sz w:val="21"/>
        </w:rPr>
        <w:t xml:space="preserve">Weekly Environmental Toolbox Talks (TBT): </w:t>
      </w:r>
      <w:r>
        <w:rPr>
          <w:rFonts w:ascii="Calibri" w:hAnsi="Calibri"/>
          <w:color w:val="222A2E"/>
          <w:sz w:val="21"/>
        </w:rPr>
        <w:t>Field supervisors must conduct weekly 15-minute TBT sessions focusing on specific environmental topics (e.g., proper cylinder handling, spill kit use, dust control).</w:t>
      </w:r>
    </w:p>
    <w:p>
      <w:pPr>
        <w:spacing w:after="80"/>
      </w:pPr>
      <w:r>
        <w:rPr>
          <w:rFonts w:ascii="Calibri" w:hAnsi="Calibri"/>
          <w:color w:val="222A2E"/>
          <w:sz w:val="21"/>
        </w:rPr>
        <w:t>Routine Field Inspection Schedule:</w:t>
      </w:r>
    </w:p>
    <w:p>
      <w:pPr>
        <w:spacing w:after="60"/>
        <w:ind w:left="283" w:hanging="283"/>
      </w:pPr>
      <w:r>
        <w:rPr>
          <w:rFonts w:ascii="Calibri" w:hAnsi="Calibri"/>
          <w:b/>
          <w:color w:val="007E8C"/>
          <w:sz w:val="21"/>
        </w:rPr>
        <w:t xml:space="preserve">▪  </w:t>
      </w:r>
      <w:r>
        <w:rPr>
          <w:rFonts w:ascii="Calibri" w:hAnsi="Calibri"/>
          <w:color w:val="222A2E"/>
          <w:sz w:val="21"/>
        </w:rPr>
        <w:t>Daily: Visual check of chemical drip trays, vehicle leaks, and dust suppression spraying.</w:t>
      </w:r>
    </w:p>
    <w:p>
      <w:pPr>
        <w:spacing w:after="60"/>
        <w:ind w:left="283" w:hanging="283"/>
      </w:pPr>
      <w:r>
        <w:rPr>
          <w:rFonts w:ascii="Calibri" w:hAnsi="Calibri"/>
          <w:b/>
          <w:color w:val="007E8C"/>
          <w:sz w:val="21"/>
        </w:rPr>
        <w:t xml:space="preserve">▪  </w:t>
      </w:r>
      <w:r>
        <w:rPr>
          <w:rFonts w:ascii="Calibri" w:hAnsi="Calibri"/>
          <w:color w:val="222A2E"/>
          <w:sz w:val="21"/>
        </w:rPr>
        <w:t>Weekly: Full inspection of Central Waste Yard, Spill Kits inventory, and MSDS availability.</w:t>
      </w:r>
    </w:p>
    <w:p>
      <w:pPr>
        <w:spacing w:after="60"/>
        <w:ind w:left="283" w:hanging="283"/>
      </w:pPr>
      <w:r>
        <w:rPr>
          <w:rFonts w:ascii="Calibri" w:hAnsi="Calibri"/>
          <w:b/>
          <w:color w:val="007E8C"/>
          <w:sz w:val="21"/>
        </w:rPr>
        <w:t xml:space="preserve">▪  </w:t>
      </w:r>
      <w:r>
        <w:rPr>
          <w:rFonts w:ascii="Calibri" w:hAnsi="Calibri"/>
          <w:color w:val="222A2E"/>
          <w:sz w:val="21"/>
        </w:rPr>
        <w:t>Monthly: Complete environmental audit including water sampling, noise surveys, and manifest reconciliation.</w:t>
      </w:r>
    </w:p>
    <w:p>
      <w:pPr>
        <w:keepNext/>
        <w:spacing w:before="260" w:after="120"/>
        <w:pBdr>
          <w:bottom w:val="single" w:sz="12" w:space="3" w:color="007E8C"/>
        </w:pBdr>
      </w:pPr>
      <w:r>
        <w:rPr>
          <w:rFonts w:ascii="Calibri" w:hAnsi="Calibri"/>
          <w:b/>
          <w:color w:val="003B4A"/>
          <w:sz w:val="25"/>
        </w:rPr>
        <w:t>SECTION 8: DOCUMENT APPROVAL &amp; SIGN-OFF MATRIX</w:t>
      </w:r>
    </w:p>
    <w:tbl>
      <w:tblPr>
        <w:tblW w:type="auto" w:w="0"/>
        <w:tblLayout w:type="fixed"/>
        <w:tblLook w:firstColumn="1" w:firstRow="1" w:lastColumn="0" w:lastRow="0" w:noHBand="0" w:noVBand="1" w:val="04A0"/>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Layout w:type="fixed"/>
      </w:tblPr>
      <w:tblGrid>
        <w:gridCol w:w="3288"/>
        <w:gridCol w:w="3288"/>
        <w:gridCol w:w="3288"/>
      </w:tblGrid>
      <w:tr>
        <w:tc>
          <w:tcPr>
            <w:tcW w:type="dxa" w:w="3288"/>
            <w:shd w:val="clear" w:color="auto" w:fill="007E8C"/>
            <w:tcMar>
              <w:top w:w="60" w:type="dxa"/>
              <w:bottom w:w="60" w:type="dxa"/>
              <w:start w:w="110" w:type="dxa"/>
              <w:end w:w="110" w:type="dxa"/>
            </w:tcMar>
            <w:vAlign w:val="center"/>
          </w:tcPr>
          <w:p>
            <w:pPr>
              <w:spacing w:after="40" w:before="20"/>
              <w:jc w:val="center"/>
            </w:pPr>
            <w:r>
              <w:rPr>
                <w:rFonts w:ascii="Calibri" w:hAnsi="Calibri"/>
                <w:b/>
                <w:i w:val="0"/>
                <w:color w:val="FFFFFF"/>
                <w:sz w:val="19"/>
              </w:rPr>
              <w:t>PREPARED &amp; ISSUED BY</w:t>
            </w:r>
          </w:p>
        </w:tc>
        <w:tc>
          <w:tcPr>
            <w:tcW w:type="dxa" w:w="3288"/>
            <w:shd w:val="clear" w:color="auto" w:fill="007E8C"/>
            <w:tcMar>
              <w:top w:w="60" w:type="dxa"/>
              <w:bottom w:w="60" w:type="dxa"/>
              <w:start w:w="110" w:type="dxa"/>
              <w:end w:w="110" w:type="dxa"/>
            </w:tcMar>
            <w:vAlign w:val="center"/>
          </w:tcPr>
          <w:p>
            <w:pPr>
              <w:spacing w:after="40" w:before="20"/>
              <w:jc w:val="center"/>
            </w:pPr>
            <w:r>
              <w:rPr>
                <w:rFonts w:ascii="Calibri" w:hAnsi="Calibri"/>
                <w:b/>
                <w:i w:val="0"/>
                <w:color w:val="FFFFFF"/>
                <w:sz w:val="19"/>
              </w:rPr>
              <w:t>REVIEWED BY</w:t>
            </w:r>
          </w:p>
        </w:tc>
        <w:tc>
          <w:tcPr>
            <w:tcW w:type="dxa" w:w="3288"/>
            <w:shd w:val="clear" w:color="auto" w:fill="007E8C"/>
            <w:tcMar>
              <w:top w:w="60" w:type="dxa"/>
              <w:bottom w:w="60" w:type="dxa"/>
              <w:start w:w="110" w:type="dxa"/>
              <w:end w:w="110" w:type="dxa"/>
            </w:tcMar>
            <w:vAlign w:val="center"/>
          </w:tcPr>
          <w:p>
            <w:pPr>
              <w:spacing w:after="40" w:before="20"/>
              <w:jc w:val="center"/>
            </w:pPr>
            <w:r>
              <w:rPr>
                <w:rFonts w:ascii="Calibri" w:hAnsi="Calibri"/>
                <w:b/>
                <w:i w:val="0"/>
                <w:color w:val="FFFFFF"/>
                <w:sz w:val="19"/>
              </w:rPr>
              <w:t>APPROVED BY</w:t>
            </w:r>
          </w:p>
        </w:tc>
      </w:tr>
      <w:tr>
        <w:tc>
          <w:tcPr>
            <w:tcW w:type="dxa" w:w="3288"/>
            <w:tcMar>
              <w:top w:w="60" w:type="dxa"/>
              <w:bottom w:w="60" w:type="dxa"/>
              <w:start w:w="110" w:type="dxa"/>
              <w:end w:w="110" w:type="dxa"/>
            </w:tcMar>
            <w:vAlign w:val="center"/>
          </w:tcPr>
          <w:p>
            <w:pPr>
              <w:spacing w:after="40" w:before="20"/>
            </w:pPr>
            <w:r>
              <w:rPr>
                <w:rFonts w:ascii="Calibri" w:hAnsi="Calibri"/>
                <w:b w:val="0"/>
                <w:i w:val="0"/>
                <w:color w:val="222A2E"/>
                <w:sz w:val="18"/>
              </w:rPr>
              <w:t>Name: Ahmed Mansoor</w:t>
            </w:r>
          </w:p>
          <w:p>
            <w:pPr>
              <w:spacing w:after="40" w:before="0"/>
            </w:pPr>
            <w:r>
              <w:rPr>
                <w:rFonts w:ascii="Calibri" w:hAnsi="Calibri"/>
                <w:b/>
                <w:i w:val="0"/>
                <w:color w:val="222A2E"/>
                <w:sz w:val="18"/>
              </w:rPr>
              <w:t>Role: EHS Manager (Siemens Energy)</w:t>
            </w:r>
          </w:p>
          <w:p>
            <w:pPr>
              <w:spacing w:after="40" w:before="0"/>
            </w:pPr>
            <w:r>
              <w:rPr>
                <w:rFonts w:ascii="Calibri" w:hAnsi="Calibri"/>
                <w:b/>
                <w:i w:val="0"/>
                <w:color w:val="222A2E"/>
                <w:sz w:val="18"/>
              </w:rPr>
              <w:t>Qualifications: NEBOSH IGC Certified</w:t>
            </w:r>
          </w:p>
          <w:p>
            <w:pPr>
              <w:spacing w:after="40" w:before="0"/>
            </w:pPr>
            <w:r>
              <w:rPr>
                <w:rFonts w:ascii="Calibri" w:hAnsi="Calibri"/>
                <w:b/>
                <w:i w:val="0"/>
                <w:color w:val="222A2E"/>
                <w:sz w:val="18"/>
              </w:rPr>
              <w:t>Status: Prepared</w:t>
            </w:r>
          </w:p>
          <w:p>
            <w:pPr>
              <w:spacing w:after="40" w:before="0"/>
            </w:pPr>
            <w:r>
              <w:rPr>
                <w:rFonts w:ascii="Calibri" w:hAnsi="Calibri"/>
                <w:b w:val="0"/>
                <w:i w:val="0"/>
                <w:color w:val="222A2E"/>
                <w:sz w:val="18"/>
              </w:rPr>
              <w:t>Date: 05 / 09 / 2026</w:t>
            </w:r>
          </w:p>
        </w:tc>
        <w:tc>
          <w:tcPr>
            <w:tcW w:type="dxa" w:w="3288"/>
            <w:tcMar>
              <w:top w:w="60" w:type="dxa"/>
              <w:bottom w:w="60" w:type="dxa"/>
              <w:start w:w="110" w:type="dxa"/>
              <w:end w:w="110" w:type="dxa"/>
            </w:tcMar>
            <w:vAlign w:val="center"/>
          </w:tcPr>
          <w:p>
            <w:pPr>
              <w:spacing w:after="40" w:before="20"/>
            </w:pPr>
            <w:r>
              <w:rPr>
                <w:rFonts w:ascii="Calibri" w:hAnsi="Calibri"/>
                <w:b w:val="0"/>
                <w:i w:val="0"/>
                <w:color w:val="222A2E"/>
                <w:sz w:val="18"/>
              </w:rPr>
              <w:t>Name: Dogukan Arandi</w:t>
            </w:r>
          </w:p>
          <w:p>
            <w:pPr>
              <w:spacing w:after="40" w:before="0"/>
            </w:pPr>
            <w:r>
              <w:rPr>
                <w:rFonts w:ascii="Calibri" w:hAnsi="Calibri"/>
                <w:b/>
                <w:i w:val="0"/>
                <w:color w:val="222A2E"/>
                <w:sz w:val="18"/>
              </w:rPr>
              <w:t>Role: EHS / Site EHS Lead (Reviewer)</w:t>
            </w:r>
          </w:p>
          <w:p>
            <w:pPr>
              <w:spacing w:after="40" w:before="0"/>
            </w:pPr>
            <w:r>
              <w:rPr>
                <w:rFonts w:ascii="Calibri" w:hAnsi="Calibri"/>
                <w:b/>
                <w:i w:val="0"/>
                <w:color w:val="222A2E"/>
                <w:sz w:val="18"/>
              </w:rPr>
              <w:t>Company: Siemens Energy</w:t>
            </w:r>
          </w:p>
          <w:p>
            <w:pPr>
              <w:spacing w:after="40" w:before="0"/>
            </w:pPr>
            <w:r>
              <w:rPr>
                <w:rFonts w:ascii="Calibri" w:hAnsi="Calibri"/>
                <w:b/>
                <w:i w:val="0"/>
                <w:color w:val="222A2E"/>
                <w:sz w:val="18"/>
              </w:rPr>
              <w:t>Status: Under Review</w:t>
            </w:r>
          </w:p>
          <w:p>
            <w:pPr>
              <w:spacing w:after="40" w:before="0"/>
            </w:pPr>
            <w:r>
              <w:rPr>
                <w:rFonts w:ascii="Calibri" w:hAnsi="Calibri"/>
                <w:b w:val="0"/>
                <w:i w:val="0"/>
                <w:color w:val="222A2E"/>
                <w:sz w:val="18"/>
              </w:rPr>
              <w:t>Date: ___ / ___ / 2026</w:t>
            </w:r>
          </w:p>
        </w:tc>
        <w:tc>
          <w:tcPr>
            <w:tcW w:type="dxa" w:w="3288"/>
            <w:tcMar>
              <w:top w:w="60" w:type="dxa"/>
              <w:bottom w:w="60" w:type="dxa"/>
              <w:start w:w="110" w:type="dxa"/>
              <w:end w:w="110" w:type="dxa"/>
            </w:tcMar>
            <w:vAlign w:val="center"/>
          </w:tcPr>
          <w:p>
            <w:pPr>
              <w:spacing w:after="40" w:before="20"/>
            </w:pPr>
            <w:r>
              <w:rPr>
                <w:rFonts w:ascii="Calibri" w:hAnsi="Calibri"/>
                <w:b w:val="0"/>
                <w:i w:val="0"/>
                <w:color w:val="222A2E"/>
                <w:sz w:val="18"/>
              </w:rPr>
              <w:t>Name: Onur Ozvatan</w:t>
            </w:r>
          </w:p>
          <w:p>
            <w:pPr>
              <w:spacing w:after="40" w:before="0"/>
            </w:pPr>
            <w:r>
              <w:rPr>
                <w:rFonts w:ascii="Calibri" w:hAnsi="Calibri"/>
                <w:b/>
                <w:i w:val="0"/>
                <w:color w:val="222A2E"/>
                <w:sz w:val="18"/>
              </w:rPr>
              <w:t>Role: Project Manager</w:t>
            </w:r>
          </w:p>
          <w:p>
            <w:pPr>
              <w:spacing w:after="40" w:before="0"/>
            </w:pPr>
            <w:r>
              <w:rPr>
                <w:rFonts w:ascii="Calibri" w:hAnsi="Calibri"/>
                <w:b/>
                <w:i w:val="0"/>
                <w:color w:val="222A2E"/>
                <w:sz w:val="18"/>
              </w:rPr>
              <w:t>Company: Siemens Energy</w:t>
            </w:r>
          </w:p>
          <w:p>
            <w:pPr>
              <w:spacing w:after="40" w:before="0"/>
            </w:pPr>
            <w:r>
              <w:rPr>
                <w:rFonts w:ascii="Calibri" w:hAnsi="Calibri"/>
                <w:b/>
                <w:i w:val="0"/>
                <w:color w:val="222A2E"/>
                <w:sz w:val="18"/>
              </w:rPr>
              <w:t>Status: For Approval (Pending Final Review)</w:t>
            </w:r>
          </w:p>
          <w:p>
            <w:pPr>
              <w:spacing w:after="40" w:before="0"/>
            </w:pPr>
            <w:r>
              <w:rPr>
                <w:rFonts w:ascii="Calibri" w:hAnsi="Calibri"/>
                <w:b w:val="0"/>
                <w:i w:val="0"/>
                <w:color w:val="222A2E"/>
                <w:sz w:val="18"/>
              </w:rPr>
              <w:t>Date: ___ / ___ / 2026</w:t>
            </w:r>
          </w:p>
        </w:tc>
      </w:tr>
    </w:tbl>
    <w:p>
      <w:pPr>
        <w:keepNext/>
        <w:spacing w:before="260" w:after="120"/>
        <w:pBdr>
          <w:bottom w:val="single" w:sz="12" w:space="3" w:color="007E8C"/>
        </w:pBdr>
      </w:pPr>
      <w:r>
        <w:rPr>
          <w:rFonts w:ascii="Calibri" w:hAnsi="Calibri"/>
          <w:b/>
          <w:color w:val="003B4A"/>
          <w:sz w:val="25"/>
        </w:rPr>
        <w:t>SECTION 9: REFERENCES &amp; TECHNICAL LIMIT SOURCES</w:t>
      </w:r>
    </w:p>
    <w:p>
      <w:pPr>
        <w:spacing w:after="80"/>
      </w:pPr>
      <w:r>
        <w:rPr>
          <w:rFonts w:ascii="Calibri" w:hAnsi="Calibri"/>
          <w:color w:val="222A2E"/>
          <w:sz w:val="21"/>
        </w:rPr>
        <w:t>The following references govern the technical limits used in this Manual. Where numerical limits differ between them, the more stringent requirement shall apply.</w:t>
      </w:r>
    </w:p>
    <w:p>
      <w:pPr>
        <w:spacing w:after="60"/>
        <w:ind w:left="283" w:hanging="283"/>
      </w:pPr>
      <w:r>
        <w:rPr>
          <w:rFonts w:ascii="Calibri" w:hAnsi="Calibri"/>
          <w:b/>
          <w:color w:val="007E8C"/>
          <w:sz w:val="21"/>
        </w:rPr>
        <w:t xml:space="preserve">▪  </w:t>
      </w:r>
      <w:r>
        <w:rPr>
          <w:rFonts w:ascii="Calibri" w:hAnsi="Calibri"/>
          <w:color w:val="222A2E"/>
          <w:sz w:val="21"/>
        </w:rPr>
        <w:t>Iraqi Environmental Law No. 27 (2009) and its implementing regulations — ambient water, air and waste management requirements.</w:t>
      </w:r>
    </w:p>
    <w:p>
      <w:pPr>
        <w:spacing w:after="60"/>
        <w:ind w:left="283" w:hanging="283"/>
      </w:pPr>
      <w:r>
        <w:rPr>
          <w:rFonts w:ascii="Calibri" w:hAnsi="Calibri"/>
          <w:b/>
          <w:color w:val="007E8C"/>
          <w:sz w:val="21"/>
        </w:rPr>
        <w:t xml:space="preserve">▪  </w:t>
      </w:r>
      <w:r>
        <w:rPr>
          <w:rFonts w:ascii="Calibri" w:hAnsi="Calibri"/>
          <w:color w:val="222A2E"/>
          <w:sz w:val="21"/>
        </w:rPr>
        <w:t>Iraqi Ministry of Environment (MoE) Project EHS Guidelines and irrigation / discharge standards.</w:t>
      </w:r>
    </w:p>
    <w:p>
      <w:pPr>
        <w:spacing w:after="60"/>
        <w:ind w:left="283" w:hanging="283"/>
      </w:pPr>
      <w:r>
        <w:rPr>
          <w:rFonts w:ascii="Calibri" w:hAnsi="Calibri"/>
          <w:b/>
          <w:color w:val="007E8C"/>
          <w:sz w:val="21"/>
        </w:rPr>
        <w:t xml:space="preserve">▪  </w:t>
      </w:r>
      <w:r>
        <w:rPr>
          <w:rFonts w:ascii="Calibri" w:hAnsi="Calibri"/>
          <w:color w:val="222A2E"/>
          <w:sz w:val="21"/>
        </w:rPr>
        <w:t>WHO Guidelines for Drinking-water Quality — potable water parameters in Section 3.1.</w:t>
      </w:r>
    </w:p>
    <w:p>
      <w:pPr>
        <w:spacing w:after="60"/>
        <w:ind w:left="283" w:hanging="283"/>
      </w:pPr>
      <w:r>
        <w:rPr>
          <w:rFonts w:ascii="Calibri" w:hAnsi="Calibri"/>
          <w:b/>
          <w:color w:val="007E8C"/>
          <w:sz w:val="21"/>
        </w:rPr>
        <w:t xml:space="preserve">▪  </w:t>
      </w:r>
      <w:r>
        <w:rPr>
          <w:rFonts w:ascii="Calibri" w:hAnsi="Calibri"/>
          <w:color w:val="222A2E"/>
          <w:sz w:val="21"/>
        </w:rPr>
        <w:t>WHO Global Air Quality Guidelines (2021) and US EPA NAAQS — PM10 / PM2.5 limits in Section 3.4.</w:t>
      </w:r>
    </w:p>
    <w:p>
      <w:pPr>
        <w:spacing w:after="60"/>
        <w:ind w:left="283" w:hanging="283"/>
      </w:pPr>
      <w:r>
        <w:rPr>
          <w:rFonts w:ascii="Calibri" w:hAnsi="Calibri"/>
          <w:b/>
          <w:color w:val="007E8C"/>
          <w:sz w:val="21"/>
        </w:rPr>
        <w:t xml:space="preserve">▪  </w:t>
      </w:r>
      <w:r>
        <w:rPr>
          <w:rFonts w:ascii="Calibri" w:hAnsi="Calibri"/>
          <w:color w:val="222A2E"/>
          <w:sz w:val="21"/>
        </w:rPr>
        <w:t>WHO Environmental Noise Guidelines — boundary noise limits in Section 3.3; OSHA 29 CFR 1910.95 — 85 dB(A) action level.</w:t>
      </w:r>
    </w:p>
    <w:p>
      <w:pPr>
        <w:spacing w:after="60"/>
        <w:ind w:left="283" w:hanging="283"/>
      </w:pPr>
      <w:r>
        <w:rPr>
          <w:rFonts w:ascii="Calibri" w:hAnsi="Calibri"/>
          <w:b/>
          <w:color w:val="007E8C"/>
          <w:sz w:val="21"/>
        </w:rPr>
        <w:t xml:space="preserve">▪  </w:t>
      </w:r>
      <w:r>
        <w:rPr>
          <w:rFonts w:ascii="Calibri" w:hAnsi="Calibri"/>
          <w:color w:val="222A2E"/>
          <w:sz w:val="21"/>
        </w:rPr>
        <w:t>OSHA 29 CFR 1910.146 (permit-required confined spaces) and ACGIH TLV / OSHA PEL — gas thresholds in Section 3.2.</w:t>
      </w:r>
    </w:p>
    <w:p>
      <w:pPr>
        <w:spacing w:after="60"/>
        <w:ind w:left="283" w:hanging="283"/>
      </w:pPr>
      <w:r>
        <w:rPr>
          <w:rFonts w:ascii="Calibri" w:hAnsi="Calibri"/>
          <w:b/>
          <w:color w:val="007E8C"/>
          <w:sz w:val="21"/>
        </w:rPr>
        <w:t xml:space="preserve">▪  </w:t>
      </w:r>
      <w:r>
        <w:rPr>
          <w:rFonts w:ascii="Calibri" w:hAnsi="Calibri"/>
          <w:color w:val="222A2E"/>
          <w:sz w:val="21"/>
        </w:rPr>
        <w:t>Siemens Energy Global EHS Standards and client (MOE/BGC) site environmental requirements.</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69"/>
        <w:sz w:val="16"/>
      </w:rPr>
      <w:t xml:space="preserve">KAZ-EHS-MAN-2026-002-RE  •  Rev. 1  •  Siemens Energy – KAZ Power Plant Upgrade  •  Page </w:t>
    </w:r>
    <w:r>
      <w:rPr>
        <w:rFonts w:ascii="Calibri" w:hAnsi="Calibri"/>
        <w:color w:val="5A646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22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&amp; Waste Management Operational Manual</dc:title>
  <dc:subject>KAZ Power Plant Upgrade Project – Basra, Iraq</dc:subject>
  <dc:creator>Ahmed Mansoor (EHS Manager)</dc:creator>
  <cp:keywords>Waste Management, Environment, EHS, KAZ, Siemens Energy</cp:keywords>
  <dc:description>generated by python-docx</dc:description>
  <cp:lastModifiedBy/>
  <cp:revision>1</cp:revision>
  <dcterms:created xsi:type="dcterms:W3CDTF">2013-12-23T23:15:00Z</dcterms:created>
  <dcterms:modified xsi:type="dcterms:W3CDTF">2013-12-23T23:15:00Z</dcterms:modified>
  <cp:category/>
</cp:coreProperties>
</file>