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9866"/>
      </w:tblGrid>
      <w:tr>
        <w:tc>
          <w:tcPr>
            <w:tcW w:type="dxa" w:w="9865"/>
            <w:shd w:val="clear" w:color="auto" w:fill="003B4A"/>
            <w:tcMar>
              <w:top w:w="260" w:type="dxa"/>
              <w:bottom w:w="260" w:type="dxa"/>
              <w:start w:w="280" w:type="dxa"/>
              <w:end w:w="280" w:type="dxa"/>
            </w:tcMar>
          </w:tcPr>
          <w:p>
            <w:pPr>
              <w:spacing w:after="40"/>
              <w:jc w:val="center"/>
            </w:pPr>
            <w:r>
              <w:rPr>
                <w:rFonts w:ascii="Calibri" w:hAnsi="Calibri"/>
                <w:b/>
                <w:color w:val="FFFFFF"/>
                <w:sz w:val="38"/>
              </w:rPr>
              <w:t>PERMIT TO WORK (PTW) SYSTEM</w:t>
            </w:r>
          </w:p>
          <w:p>
            <w:pPr>
              <w:spacing w:after="160"/>
              <w:jc w:val="center"/>
            </w:pPr>
            <w:r>
              <w:rPr>
                <w:rFonts w:ascii="Calibri" w:hAnsi="Calibri"/>
                <w:b/>
                <w:color w:val="00B5E2"/>
                <w:sz w:val="24"/>
              </w:rPr>
              <w:t>STANDARD OPERATING PROCEDURE</w:t>
            </w:r>
          </w:p>
          <w:p>
            <w:pPr>
              <w:spacing w:after="80"/>
              <w:jc w:val="center"/>
            </w:pPr>
            <w:r>
              <w:rPr>
                <w:rFonts w:ascii="Calibri" w:hAnsi="Calibri"/>
                <w:color w:val="FFFFFF"/>
                <w:sz w:val="22"/>
              </w:rPr>
              <w:t>KAZ Power Plant Upgrade Project — Basra, Iraq</w:t>
            </w:r>
          </w:p>
          <w:p>
            <w:pPr>
              <w:jc w:val="center"/>
            </w:pPr>
            <w:r>
              <w:rPr>
                <w:rFonts w:ascii="Calibri" w:hAnsi="Calibri"/>
                <w:color w:val="CFE7EB"/>
                <w:sz w:val="18"/>
              </w:rPr>
              <w:t>Document ID: KAZ-EHS-SOP-2026-003   •   Revision: 1   •   Status: FOR REVIEW (Draft – Pending Final Approval)</w:t>
            </w:r>
          </w:p>
        </w:tc>
      </w:tr>
    </w:tbl>
    <w:p>
      <w:pPr>
        <w:spacing w:after="40"/>
      </w:pPr>
    </w:p>
    <w:p>
      <w:pPr>
        <w:keepNext/>
        <w:spacing w:before="280" w:after="120"/>
        <w:pBdr>
          <w:bottom w:val="single" w:sz="12" w:space="3" w:color="007E8C"/>
        </w:pBdr>
      </w:pPr>
      <w:r>
        <w:rPr>
          <w:rFonts w:ascii="Calibri" w:hAnsi="Calibri"/>
          <w:b/>
          <w:color w:val="003B4A"/>
          <w:sz w:val="25"/>
        </w:rPr>
        <w:t>SECTION 0: DOCUMENT CONTROL</w:t>
      </w:r>
    </w:p>
    <w:tbl>
      <w:tblPr>
        <w:tblW w:type="auto" w:w="0"/>
        <w:tblLayout w:type="fixed"/>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Pr>
      <w:tblGrid>
        <w:gridCol w:w="4933"/>
        <w:gridCol w:w="4933"/>
      </w:tblGrid>
      <w:tr>
        <w:tc>
          <w:tcPr>
            <w:tcW w:type="dxa" w:w="2948"/>
            <w:shd w:val="clear" w:color="auto" w:fill="DCEFF1"/>
            <w:tcMar>
              <w:top w:w="60" w:type="dxa"/>
              <w:bottom w:w="60" w:type="dxa"/>
              <w:start w:w="110" w:type="dxa"/>
              <w:end w:w="110" w:type="dxa"/>
            </w:tcMar>
          </w:tcPr>
          <w:p>
            <w:pPr>
              <w:spacing w:after="40" w:before="20"/>
            </w:pPr>
            <w:r>
              <w:rPr>
                <w:rFonts w:ascii="Calibri" w:hAnsi="Calibri"/>
                <w:b/>
                <w:i w:val="0"/>
                <w:color w:val="003B4A"/>
                <w:sz w:val="20"/>
              </w:rPr>
              <w:t>Project Title &amp; Location</w:t>
            </w:r>
          </w:p>
        </w:tc>
        <w:tc>
          <w:tcPr>
            <w:tcW w:type="dxa" w:w="6917"/>
            <w:tcMar>
              <w:top w:w="60" w:type="dxa"/>
              <w:bottom w:w="60" w:type="dxa"/>
              <w:start w:w="110" w:type="dxa"/>
              <w:end w:w="110" w:type="dxa"/>
            </w:tcMar>
          </w:tcPr>
          <w:p>
            <w:pPr>
              <w:spacing w:after="40" w:before="20"/>
            </w:pPr>
            <w:r>
              <w:rPr>
                <w:rFonts w:ascii="Calibri" w:hAnsi="Calibri"/>
                <w:b w:val="0"/>
                <w:i w:val="0"/>
                <w:color w:val="222A2E"/>
                <w:sz w:val="20"/>
              </w:rPr>
              <w:t>KAZ Power Plant Upgrade Project (Basra, Iraq)</w:t>
            </w:r>
          </w:p>
        </w:tc>
      </w:tr>
      <w:tr>
        <w:tc>
          <w:tcPr>
            <w:tcW w:type="dxa" w:w="2948"/>
            <w:shd w:val="clear" w:color="auto" w:fill="DCEFF1"/>
            <w:tcMar>
              <w:top w:w="60" w:type="dxa"/>
              <w:bottom w:w="60" w:type="dxa"/>
              <w:start w:w="110" w:type="dxa"/>
              <w:end w:w="110" w:type="dxa"/>
            </w:tcMar>
          </w:tcPr>
          <w:p>
            <w:pPr>
              <w:spacing w:after="40" w:before="20"/>
            </w:pPr>
            <w:r>
              <w:rPr>
                <w:rFonts w:ascii="Calibri" w:hAnsi="Calibri"/>
                <w:b/>
                <w:i w:val="0"/>
                <w:color w:val="003B4A"/>
                <w:sz w:val="20"/>
              </w:rPr>
              <w:t>Client / Beneficiary</w:t>
            </w:r>
          </w:p>
        </w:tc>
        <w:tc>
          <w:tcPr>
            <w:tcW w:type="dxa" w:w="6917"/>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Ministry of Electricity (MOE) &amp; Basrah Gas Company (BGC)</w:t>
            </w:r>
          </w:p>
        </w:tc>
      </w:tr>
      <w:tr>
        <w:tc>
          <w:tcPr>
            <w:tcW w:type="dxa" w:w="2948"/>
            <w:shd w:val="clear" w:color="auto" w:fill="DCEFF1"/>
            <w:tcMar>
              <w:top w:w="60" w:type="dxa"/>
              <w:bottom w:w="60" w:type="dxa"/>
              <w:start w:w="110" w:type="dxa"/>
              <w:end w:w="110" w:type="dxa"/>
            </w:tcMar>
          </w:tcPr>
          <w:p>
            <w:pPr>
              <w:spacing w:after="40" w:before="20"/>
            </w:pPr>
            <w:r>
              <w:rPr>
                <w:rFonts w:ascii="Calibri" w:hAnsi="Calibri"/>
                <w:b/>
                <w:i w:val="0"/>
                <w:color w:val="003B4A"/>
                <w:sz w:val="20"/>
              </w:rPr>
              <w:t>Principal Contractor</w:t>
            </w:r>
          </w:p>
        </w:tc>
        <w:tc>
          <w:tcPr>
            <w:tcW w:type="dxa" w:w="6917"/>
            <w:tcMar>
              <w:top w:w="60" w:type="dxa"/>
              <w:bottom w:w="60" w:type="dxa"/>
              <w:start w:w="110" w:type="dxa"/>
              <w:end w:w="110" w:type="dxa"/>
            </w:tcMar>
          </w:tcPr>
          <w:p>
            <w:pPr>
              <w:spacing w:after="40" w:before="20"/>
            </w:pPr>
            <w:r>
              <w:rPr>
                <w:rFonts w:ascii="Calibri" w:hAnsi="Calibri"/>
                <w:b w:val="0"/>
                <w:i w:val="0"/>
                <w:color w:val="222A2E"/>
                <w:sz w:val="20"/>
              </w:rPr>
              <w:t>Siemens Energy</w:t>
            </w:r>
          </w:p>
        </w:tc>
      </w:tr>
      <w:tr>
        <w:tc>
          <w:tcPr>
            <w:tcW w:type="dxa" w:w="2948"/>
            <w:shd w:val="clear" w:color="auto" w:fill="DCEFF1"/>
            <w:tcMar>
              <w:top w:w="60" w:type="dxa"/>
              <w:bottom w:w="60" w:type="dxa"/>
              <w:start w:w="110" w:type="dxa"/>
              <w:end w:w="110" w:type="dxa"/>
            </w:tcMar>
          </w:tcPr>
          <w:p>
            <w:pPr>
              <w:spacing w:after="40" w:before="20"/>
            </w:pPr>
            <w:r>
              <w:rPr>
                <w:rFonts w:ascii="Calibri" w:hAnsi="Calibri"/>
                <w:b/>
                <w:i w:val="0"/>
                <w:color w:val="003B4A"/>
                <w:sz w:val="20"/>
              </w:rPr>
              <w:t>Document Author</w:t>
            </w:r>
          </w:p>
        </w:tc>
        <w:tc>
          <w:tcPr>
            <w:tcW w:type="dxa" w:w="6917"/>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Ahmed Mansoor Hashim Kazem (EHS Manager)</w:t>
            </w:r>
          </w:p>
        </w:tc>
      </w:tr>
      <w:tr>
        <w:tc>
          <w:tcPr>
            <w:tcW w:type="dxa" w:w="2948"/>
            <w:shd w:val="clear" w:color="auto" w:fill="DCEFF1"/>
            <w:tcMar>
              <w:top w:w="60" w:type="dxa"/>
              <w:bottom w:w="60" w:type="dxa"/>
              <w:start w:w="110" w:type="dxa"/>
              <w:end w:w="110" w:type="dxa"/>
            </w:tcMar>
          </w:tcPr>
          <w:p>
            <w:pPr>
              <w:spacing w:after="40" w:before="20"/>
            </w:pPr>
            <w:r>
              <w:rPr>
                <w:rFonts w:ascii="Calibri" w:hAnsi="Calibri"/>
                <w:b/>
                <w:i w:val="0"/>
                <w:color w:val="003B4A"/>
                <w:sz w:val="20"/>
              </w:rPr>
              <w:t>PTW System Control / Authority</w:t>
            </w:r>
          </w:p>
        </w:tc>
        <w:tc>
          <w:tcPr>
            <w:tcW w:type="dxa" w:w="6917"/>
            <w:tcMar>
              <w:top w:w="60" w:type="dxa"/>
              <w:bottom w:w="60" w:type="dxa"/>
              <w:start w:w="110" w:type="dxa"/>
              <w:end w:w="110" w:type="dxa"/>
            </w:tcMar>
          </w:tcPr>
          <w:p>
            <w:pPr>
              <w:spacing w:after="40" w:before="20"/>
            </w:pPr>
            <w:r>
              <w:rPr>
                <w:rFonts w:ascii="Calibri" w:hAnsi="Calibri"/>
                <w:b w:val="0"/>
                <w:i w:val="0"/>
                <w:color w:val="222A2E"/>
                <w:sz w:val="20"/>
              </w:rPr>
              <w:t>Administered and controlled by Siemens Energy (Principal Contractor) in alignment with client (MOE/BGC) site rules. For work on client live/operational plant or within client-controlled areas, the client PTW system and its Area/Isolation Authority take precedence, and this procedure is aligned accordingly.</w:t>
            </w:r>
          </w:p>
        </w:tc>
      </w:tr>
      <w:tr>
        <w:tc>
          <w:tcPr>
            <w:tcW w:type="dxa" w:w="2948"/>
            <w:shd w:val="clear" w:color="auto" w:fill="DCEFF1"/>
            <w:tcMar>
              <w:top w:w="60" w:type="dxa"/>
              <w:bottom w:w="60" w:type="dxa"/>
              <w:start w:w="110" w:type="dxa"/>
              <w:end w:w="110" w:type="dxa"/>
            </w:tcMar>
          </w:tcPr>
          <w:p>
            <w:pPr>
              <w:spacing w:after="40" w:before="20"/>
            </w:pPr>
            <w:r>
              <w:rPr>
                <w:rFonts w:ascii="Calibri" w:hAnsi="Calibri"/>
                <w:b/>
                <w:i w:val="0"/>
                <w:color w:val="003B4A"/>
                <w:sz w:val="20"/>
              </w:rPr>
              <w:t>Governing Standards</w:t>
            </w:r>
          </w:p>
        </w:tc>
        <w:tc>
          <w:tcPr>
            <w:tcW w:type="dxa" w:w="6917"/>
            <w:tcMar>
              <w:top w:w="60" w:type="dxa"/>
              <w:bottom w:w="60" w:type="dxa"/>
              <w:start w:w="110" w:type="dxa"/>
              <w:end w:w="110" w:type="dxa"/>
            </w:tcMar>
            <w:shd w:val="clear" w:color="auto" w:fill="F7FBFB"/>
          </w:tcPr>
          <w:p>
            <w:pPr>
              <w:spacing w:after="40" w:before="20"/>
            </w:pPr>
            <w:r>
              <w:rPr>
                <w:rFonts w:ascii="Calibri" w:hAnsi="Calibri"/>
                <w:b w:val="0"/>
                <w:i w:val="0"/>
                <w:color w:val="222A2E"/>
                <w:sz w:val="20"/>
              </w:rPr>
              <w:t>Iraqi Labour Law No. 37 of 2015 • OSHA 29 CFR 1926/1910 • NFPA 70E • Siemens Energy Global PTW Standard Framework</w:t>
            </w:r>
          </w:p>
        </w:tc>
      </w:tr>
      <w:tr>
        <w:tc>
          <w:tcPr>
            <w:tcW w:type="dxa" w:w="2948"/>
            <w:shd w:val="clear" w:color="auto" w:fill="DCEFF1"/>
            <w:tcMar>
              <w:top w:w="60" w:type="dxa"/>
              <w:bottom w:w="60" w:type="dxa"/>
              <w:start w:w="110" w:type="dxa"/>
              <w:end w:w="110" w:type="dxa"/>
            </w:tcMar>
          </w:tcPr>
          <w:p>
            <w:pPr>
              <w:spacing w:after="40" w:before="20"/>
            </w:pPr>
            <w:r>
              <w:rPr>
                <w:rFonts w:ascii="Calibri" w:hAnsi="Calibri"/>
                <w:b/>
                <w:i w:val="0"/>
                <w:color w:val="003B4A"/>
                <w:sz w:val="20"/>
              </w:rPr>
              <w:t>Technical-Limit References</w:t>
            </w:r>
          </w:p>
        </w:tc>
        <w:tc>
          <w:tcPr>
            <w:tcW w:type="dxa" w:w="6917"/>
            <w:tcMar>
              <w:top w:w="60" w:type="dxa"/>
              <w:bottom w:w="60" w:type="dxa"/>
              <w:start w:w="110" w:type="dxa"/>
              <w:end w:w="110" w:type="dxa"/>
            </w:tcMar>
          </w:tcPr>
          <w:p>
            <w:pPr>
              <w:spacing w:after="40" w:before="20"/>
            </w:pPr>
            <w:r>
              <w:rPr>
                <w:rFonts w:ascii="Calibri" w:hAnsi="Calibri"/>
                <w:b w:val="0"/>
                <w:i w:val="0"/>
                <w:color w:val="222A2E"/>
                <w:sz w:val="20"/>
              </w:rPr>
              <w:t>OSHA 29 CFR 1926 Subpart M (fall protection – work at height ≥ 1.8 m) &amp; Subpart P (excavation/trenching – protective systems &gt; 1.2 m) • NFPA 70E (energized electrical work / Arc Flash) • Crane manufacturer &amp; OSHA 1926.1400 (lifting wind limits) • Where requirements differ, the more stringent applies.</w:t>
            </w:r>
          </w:p>
        </w:tc>
      </w:tr>
    </w:tbl>
    <w:p>
      <w:pPr>
        <w:keepNext/>
        <w:spacing w:before="280" w:after="120"/>
        <w:pBdr>
          <w:bottom w:val="single" w:sz="12" w:space="3" w:color="007E8C"/>
        </w:pBdr>
      </w:pPr>
      <w:r>
        <w:rPr>
          <w:rFonts w:ascii="Calibri" w:hAnsi="Calibri"/>
          <w:b/>
          <w:color w:val="003B4A"/>
          <w:sz w:val="25"/>
        </w:rPr>
        <w:t>SECTION 1: PURPOSE &amp; GENERAL SCOPE</w:t>
      </w:r>
    </w:p>
    <w:p>
      <w:pPr>
        <w:spacing w:after="80"/>
      </w:pPr>
      <w:r>
        <w:rPr>
          <w:rFonts w:ascii="Calibri" w:hAnsi="Calibri"/>
          <w:color w:val="222A2E"/>
          <w:sz w:val="21"/>
        </w:rPr>
        <w:t>The Permit to Work (PTW) system is a formal, written safety management process used to authorize specific high-risk activities on the KAZ Power Plant Upgrade Project. The system ensures that risks are systematically identified, proper control measures are verified on-site, and formal approval is documented before any work commences.</w:t>
      </w:r>
    </w:p>
    <w:p>
      <w:pPr>
        <w:keepNext/>
        <w:spacing w:before="280" w:after="120"/>
        <w:pBdr>
          <w:bottom w:val="single" w:sz="12" w:space="3" w:color="007E8C"/>
        </w:pBdr>
      </w:pPr>
      <w:r>
        <w:rPr>
          <w:rFonts w:ascii="Calibri" w:hAnsi="Calibri"/>
          <w:b/>
          <w:color w:val="003B4A"/>
          <w:sz w:val="25"/>
        </w:rPr>
        <w:t>SECTION 2: ROLES &amp; RESPONSIBILITIES MATRIX</w:t>
      </w:r>
    </w:p>
    <w:tbl>
      <w:tblPr>
        <w:tblW w:type="auto" w:w="0"/>
        <w:tblLayout w:type="fixed"/>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Pr>
      <w:tblGrid>
        <w:gridCol w:w="4933"/>
        <w:gridCol w:w="4933"/>
      </w:tblGrid>
      <w:tr>
        <w:tc>
          <w:tcPr>
            <w:tcW w:type="dxa" w:w="4933"/>
            <w:shd w:val="clear" w:color="auto" w:fill="007E8C"/>
            <w:tcMar>
              <w:top w:w="60" w:type="dxa"/>
              <w:bottom w:w="60" w:type="dxa"/>
              <w:start w:w="110" w:type="dxa"/>
              <w:end w:w="110" w:type="dxa"/>
            </w:tcMar>
          </w:tcPr>
          <w:p>
            <w:pPr>
              <w:spacing w:after="40" w:before="20"/>
            </w:pPr>
            <w:r>
              <w:rPr>
                <w:rFonts w:ascii="Calibri" w:hAnsi="Calibri"/>
                <w:b/>
                <w:i w:val="0"/>
                <w:color w:val="FFFFFF"/>
                <w:sz w:val="20"/>
              </w:rPr>
              <w:t>Role Title</w:t>
            </w:r>
          </w:p>
        </w:tc>
        <w:tc>
          <w:tcPr>
            <w:tcW w:type="dxa" w:w="4933"/>
            <w:shd w:val="clear" w:color="auto" w:fill="007E8C"/>
            <w:tcMar>
              <w:top w:w="60" w:type="dxa"/>
              <w:bottom w:w="60" w:type="dxa"/>
              <w:start w:w="110" w:type="dxa"/>
              <w:end w:w="110" w:type="dxa"/>
            </w:tcMar>
          </w:tcPr>
          <w:p>
            <w:pPr>
              <w:spacing w:after="40" w:before="20"/>
            </w:pPr>
            <w:r>
              <w:rPr>
                <w:rFonts w:ascii="Calibri" w:hAnsi="Calibri"/>
                <w:b/>
                <w:i w:val="0"/>
                <w:color w:val="FFFFFF"/>
                <w:sz w:val="20"/>
              </w:rPr>
              <w:t>System Responsibilities &amp; Authority</w:t>
            </w:r>
          </w:p>
        </w:tc>
      </w:tr>
      <w:tr>
        <w:tc>
          <w:tcPr>
            <w:tcW w:type="dxa" w:w="2608"/>
            <w:tcMar>
              <w:top w:w="60" w:type="dxa"/>
              <w:bottom w:w="60" w:type="dxa"/>
              <w:start w:w="110" w:type="dxa"/>
              <w:end w:w="110" w:type="dxa"/>
            </w:tcMar>
            <w:vAlign w:val="center"/>
          </w:tcPr>
          <w:p>
            <w:pPr>
              <w:spacing w:after="40" w:before="20"/>
            </w:pPr>
            <w:r>
              <w:rPr>
                <w:rFonts w:ascii="Calibri" w:hAnsi="Calibri"/>
                <w:b/>
                <w:i w:val="0"/>
                <w:color w:val="003B4A"/>
                <w:sz w:val="19"/>
              </w:rPr>
              <w:t>Permit Issuer (PI)</w:t>
            </w:r>
          </w:p>
        </w:tc>
        <w:tc>
          <w:tcPr>
            <w:tcW w:type="dxa" w:w="7257"/>
            <w:tcMar>
              <w:top w:w="60" w:type="dxa"/>
              <w:bottom w:w="60" w:type="dxa"/>
              <w:start w:w="110" w:type="dxa"/>
              <w:end w:w="110" w:type="dxa"/>
            </w:tcMar>
          </w:tcPr>
          <w:p>
            <w:pPr>
              <w:spacing w:after="40" w:before="20"/>
            </w:pPr>
            <w:r>
              <w:rPr>
                <w:rFonts w:ascii="Calibri" w:hAnsi="Calibri"/>
                <w:b w:val="0"/>
                <w:i w:val="0"/>
                <w:color w:val="222A2E"/>
                <w:sz w:val="19"/>
              </w:rPr>
              <w:t>Authorized Siemens Energy Engineer / EHS Supervisor responsible for assessing site conditions, verifying safety precautions, conducting joint inspections, and signing to issue permits.</w:t>
            </w:r>
          </w:p>
          <w:p>
            <w:pPr>
              <w:spacing w:after="40" w:before="0"/>
            </w:pPr>
            <w:r>
              <w:rPr>
                <w:rFonts w:ascii="Calibri" w:hAnsi="Calibri"/>
                <w:b w:val="0"/>
                <w:i w:val="0"/>
                <w:color w:val="222A2E"/>
                <w:sz w:val="19"/>
              </w:rPr>
              <w:t>Issues permits on behalf of Siemens Energy; technical permit approval authority rests with the Area Authority for the work location.</w:t>
            </w:r>
          </w:p>
        </w:tc>
      </w:tr>
      <w:tr>
        <w:tc>
          <w:tcPr>
            <w:tcW w:type="dxa" w:w="2608"/>
            <w:tcMar>
              <w:top w:w="60" w:type="dxa"/>
              <w:bottom w:w="60" w:type="dxa"/>
              <w:start w:w="110" w:type="dxa"/>
              <w:end w:w="110" w:type="dxa"/>
            </w:tcMar>
            <w:shd w:val="clear" w:color="auto" w:fill="EAF4F5"/>
            <w:vAlign w:val="center"/>
          </w:tcPr>
          <w:p>
            <w:pPr>
              <w:spacing w:after="40" w:before="20"/>
            </w:pPr>
            <w:r>
              <w:rPr>
                <w:rFonts w:ascii="Calibri" w:hAnsi="Calibri"/>
                <w:b/>
                <w:i w:val="0"/>
                <w:color w:val="003B4A"/>
                <w:sz w:val="19"/>
              </w:rPr>
              <w:t>Permit Holder / Applicant (PH)</w:t>
            </w:r>
          </w:p>
        </w:tc>
        <w:tc>
          <w:tcPr>
            <w:tcW w:type="dxa" w:w="7257"/>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t>Competent Subcontractor Supervisor / Engineer requesting the permit. Responsible for briefing workers on Job Safety Analysis (JSA), maintaining site safety, and closing permits at shift end.</w:t>
            </w:r>
          </w:p>
        </w:tc>
      </w:tr>
      <w:tr>
        <w:tc>
          <w:tcPr>
            <w:tcW w:type="dxa" w:w="2608"/>
            <w:tcMar>
              <w:top w:w="60" w:type="dxa"/>
              <w:bottom w:w="60" w:type="dxa"/>
              <w:start w:w="110" w:type="dxa"/>
              <w:end w:w="110" w:type="dxa"/>
            </w:tcMar>
            <w:vAlign w:val="center"/>
          </w:tcPr>
          <w:p>
            <w:pPr>
              <w:spacing w:after="40" w:before="20"/>
            </w:pPr>
            <w:r>
              <w:rPr>
                <w:rFonts w:ascii="Calibri" w:hAnsi="Calibri"/>
                <w:b/>
                <w:i w:val="0"/>
                <w:color w:val="003B4A"/>
                <w:sz w:val="19"/>
              </w:rPr>
              <w:t>Area Authority (AA)</w:t>
            </w:r>
          </w:p>
        </w:tc>
        <w:tc>
          <w:tcPr>
            <w:tcW w:type="dxa" w:w="7257"/>
            <w:tcMar>
              <w:top w:w="60" w:type="dxa"/>
              <w:bottom w:w="60" w:type="dxa"/>
              <w:start w:w="110" w:type="dxa"/>
              <w:end w:w="110" w:type="dxa"/>
            </w:tcMar>
          </w:tcPr>
          <w:p>
            <w:pPr>
              <w:spacing w:after="40" w:before="20"/>
            </w:pPr>
            <w:r>
              <w:rPr>
                <w:rFonts w:ascii="Calibri" w:hAnsi="Calibri"/>
                <w:b w:val="0"/>
                <w:i w:val="0"/>
                <w:color w:val="222A2E"/>
                <w:sz w:val="19"/>
              </w:rPr>
              <w:t>Operational owner of the plant / equipment / area where the work takes place (Siemens Energy or Client / Operations as applicable). Holds technical permit approval authority, authorizes work within the area, coordinates simultaneous operations, and confirms the plant condition is safe for the activity.</w:t>
            </w:r>
          </w:p>
        </w:tc>
      </w:tr>
      <w:tr>
        <w:tc>
          <w:tcPr>
            <w:tcW w:type="dxa" w:w="2608"/>
            <w:tcMar>
              <w:top w:w="60" w:type="dxa"/>
              <w:bottom w:w="60" w:type="dxa"/>
              <w:start w:w="110" w:type="dxa"/>
              <w:end w:w="110" w:type="dxa"/>
            </w:tcMar>
            <w:shd w:val="clear" w:color="auto" w:fill="EAF4F5"/>
            <w:vAlign w:val="center"/>
          </w:tcPr>
          <w:p>
            <w:pPr>
              <w:spacing w:after="40" w:before="20"/>
            </w:pPr>
            <w:r>
              <w:rPr>
                <w:rFonts w:ascii="Calibri" w:hAnsi="Calibri"/>
                <w:b/>
                <w:i w:val="0"/>
                <w:color w:val="003B4A"/>
                <w:sz w:val="19"/>
              </w:rPr>
              <w:t>Authorized Electrical Person (AEP) / Isolation Authority (IA)</w:t>
            </w:r>
          </w:p>
        </w:tc>
        <w:tc>
          <w:tcPr>
            <w:tcW w:type="dxa" w:w="7257"/>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t>Certified Electrical / Mechanical Engineer responsible for conducting high/low voltage isolations, commissioning testing, Arc Flash boundary assessments, grounding, LOTO application, and authorizing Electrical Cold/Hot Permits.</w:t>
            </w:r>
          </w:p>
          <w:p>
            <w:pPr>
              <w:spacing w:after="40" w:before="0"/>
            </w:pPr>
            <w:r>
              <w:rPr>
                <w:rFonts w:ascii="Calibri" w:hAnsi="Calibri"/>
                <w:b w:val="0"/>
                <w:i w:val="0"/>
                <w:color w:val="222A2E"/>
                <w:sz w:val="19"/>
              </w:rPr>
              <w:t>As Isolation Authority, applies/removes isolations and controls the LOTO register independently of PTW validity.</w:t>
            </w:r>
          </w:p>
        </w:tc>
      </w:tr>
      <w:tr>
        <w:tc>
          <w:tcPr>
            <w:tcW w:type="dxa" w:w="2608"/>
            <w:tcMar>
              <w:top w:w="60" w:type="dxa"/>
              <w:bottom w:w="60" w:type="dxa"/>
              <w:start w:w="110" w:type="dxa"/>
              <w:end w:w="110" w:type="dxa"/>
            </w:tcMar>
            <w:vAlign w:val="center"/>
          </w:tcPr>
          <w:p>
            <w:pPr>
              <w:spacing w:after="40" w:before="20"/>
            </w:pPr>
            <w:r>
              <w:rPr>
                <w:rFonts w:ascii="Calibri" w:hAnsi="Calibri"/>
                <w:b/>
                <w:i w:val="0"/>
                <w:color w:val="003B4A"/>
                <w:sz w:val="19"/>
              </w:rPr>
              <w:t>EHS Reviewer / Manager</w:t>
            </w:r>
          </w:p>
        </w:tc>
        <w:tc>
          <w:tcPr>
            <w:tcW w:type="dxa" w:w="7257"/>
            <w:tcMar>
              <w:top w:w="60" w:type="dxa"/>
              <w:bottom w:w="60" w:type="dxa"/>
              <w:start w:w="110" w:type="dxa"/>
              <w:end w:w="110" w:type="dxa"/>
            </w:tcMar>
          </w:tcPr>
          <w:p>
            <w:pPr>
              <w:spacing w:after="40" w:before="20"/>
            </w:pPr>
            <w:r>
              <w:rPr>
                <w:rFonts w:ascii="Calibri" w:hAnsi="Calibri"/>
                <w:b w:val="0"/>
                <w:i w:val="0"/>
                <w:color w:val="222A2E"/>
                <w:sz w:val="19"/>
              </w:rPr>
              <w:t>Audits PTW implementation, reviews high-risk permits (e.g., Electrical Hot/Commissioning, Confined Space, Critical Lifting, LOTO), conducts random site checks, and halts work if permit conditions are breached.</w:t>
            </w:r>
          </w:p>
          <w:p>
            <w:pPr>
              <w:spacing w:after="40" w:before="0"/>
            </w:pPr>
            <w:r>
              <w:rPr>
                <w:rFonts w:ascii="Calibri" w:hAnsi="Calibri"/>
                <w:b w:val="0"/>
                <w:i w:val="0"/>
                <w:color w:val="222A2E"/>
                <w:sz w:val="19"/>
              </w:rPr>
              <w:t>EHS acts as reviewer and auditor only and holds no technical permit approval authority; technical approval rests with the responsible operational / Area Authority.</w:t>
            </w:r>
          </w:p>
        </w:tc>
      </w:tr>
      <w:tr>
        <w:tc>
          <w:tcPr>
            <w:tcW w:type="dxa" w:w="2608"/>
            <w:tcMar>
              <w:top w:w="60" w:type="dxa"/>
              <w:bottom w:w="60" w:type="dxa"/>
              <w:start w:w="110" w:type="dxa"/>
              <w:end w:w="110" w:type="dxa"/>
            </w:tcMar>
            <w:shd w:val="clear" w:color="auto" w:fill="EAF4F5"/>
            <w:vAlign w:val="center"/>
          </w:tcPr>
          <w:p>
            <w:pPr>
              <w:spacing w:after="40" w:before="20"/>
            </w:pPr>
            <w:r>
              <w:rPr>
                <w:rFonts w:ascii="Calibri" w:hAnsi="Calibri"/>
                <w:b/>
                <w:i w:val="0"/>
                <w:color w:val="003B4A"/>
                <w:sz w:val="19"/>
              </w:rPr>
              <w:t>Authorized Gas Tester (AGT)</w:t>
            </w:r>
          </w:p>
        </w:tc>
        <w:tc>
          <w:tcPr>
            <w:tcW w:type="dxa" w:w="7257"/>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t>Certified individual responsible for testing and recording atmospheric conditions (O2, LEL, H2S, CO) for Confined Space and Hot Work permits.</w:t>
            </w:r>
          </w:p>
        </w:tc>
      </w:tr>
    </w:tbl>
    <w:p>
      <w:pPr>
        <w:keepNext/>
        <w:spacing w:before="280" w:after="120"/>
        <w:pBdr>
          <w:bottom w:val="single" w:sz="12" w:space="3" w:color="007E8C"/>
        </w:pBdr>
      </w:pPr>
      <w:r>
        <w:rPr>
          <w:rFonts w:ascii="Calibri" w:hAnsi="Calibri"/>
          <w:b/>
          <w:color w:val="003B4A"/>
          <w:sz w:val="25"/>
        </w:rPr>
        <w:t>SECTION 2A: PTW AUTHORITY &amp; GOVERNANCE (CLARIFICATION)</w:t>
      </w:r>
    </w:p>
    <w:p>
      <w:pPr>
        <w:spacing w:after="60"/>
        <w:ind w:left="283" w:hanging="283"/>
      </w:pPr>
      <w:r>
        <w:rPr>
          <w:rFonts w:ascii="Calibri" w:hAnsi="Calibri"/>
          <w:b/>
          <w:color w:val="007E8C"/>
          <w:sz w:val="21"/>
        </w:rPr>
        <w:t xml:space="preserve">▪  </w:t>
      </w:r>
      <w:r>
        <w:rPr>
          <w:rFonts w:ascii="Calibri" w:hAnsi="Calibri"/>
          <w:color w:val="222A2E"/>
          <w:sz w:val="21"/>
        </w:rPr>
        <w:t>PTW system control: Siemens Energy, as Principal Contractor, administers and controls the PTW system for its own and subcontractor works in accordance with this procedure and the client (MOE/BGC) site rules. Where work is performed on client live/operational plant or within client-controlled areas, the client PTW system and its Area/Isolation Authority take precedence, and this procedure is aligned to (and subordinate to) the client system.</w:t>
      </w:r>
    </w:p>
    <w:p>
      <w:pPr>
        <w:spacing w:after="60"/>
        <w:ind w:left="283" w:hanging="283"/>
      </w:pPr>
      <w:r>
        <w:rPr>
          <w:rFonts w:ascii="Calibri" w:hAnsi="Calibri"/>
          <w:b/>
          <w:color w:val="007E8C"/>
          <w:sz w:val="21"/>
        </w:rPr>
        <w:t xml:space="preserve">▪  </w:t>
      </w:r>
      <w:r>
        <w:rPr>
          <w:rFonts w:ascii="Calibri" w:hAnsi="Calibri"/>
          <w:color w:val="222A2E"/>
          <w:sz w:val="21"/>
        </w:rPr>
        <w:t>Three authorities are defined: the Permit Issuer (Siemens Energy), the Area Authority (operational owner of the location), and the Isolation Authority (AEP) for energy isolations — see the Roles &amp; Responsibilities Matrix (Section 2).</w:t>
      </w:r>
    </w:p>
    <w:p>
      <w:pPr>
        <w:spacing w:after="60"/>
        <w:ind w:left="283" w:hanging="283"/>
      </w:pPr>
      <w:r>
        <w:rPr>
          <w:rFonts w:ascii="Calibri" w:hAnsi="Calibri"/>
          <w:b/>
          <w:color w:val="007E8C"/>
          <w:sz w:val="21"/>
        </w:rPr>
        <w:t xml:space="preserve">▪  </w:t>
      </w:r>
      <w:r>
        <w:rPr>
          <w:rFonts w:ascii="Calibri" w:hAnsi="Calibri"/>
          <w:color w:val="222A2E"/>
          <w:sz w:val="21"/>
        </w:rPr>
        <w:t>Separation of duties: EHS acts as reviewer and auditor of the PTW process. Technical permit approval authority rests with the responsible operational / Area Authority; the Isolation Authority controls energy isolations (LOTO).</w:t>
      </w:r>
    </w:p>
    <w:p>
      <w:pPr>
        <w:keepNext/>
        <w:spacing w:before="280" w:after="120"/>
        <w:pBdr>
          <w:bottom w:val="single" w:sz="12" w:space="3" w:color="007E8C"/>
        </w:pBdr>
      </w:pPr>
      <w:r>
        <w:rPr>
          <w:rFonts w:ascii="Calibri" w:hAnsi="Calibri"/>
          <w:b/>
          <w:color w:val="003B4A"/>
          <w:sz w:val="25"/>
        </w:rPr>
        <w:t>SECTION 3: PERMIT CATEGORIES, ELECTRICAL CLASSIFICATION &amp; VALIDITY PERIODS</w:t>
      </w:r>
    </w:p>
    <w:tbl>
      <w:tblPr>
        <w:tblW w:type="auto" w:w="0"/>
        <w:tblLayout w:type="fixed"/>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Pr>
      <w:tblGrid>
        <w:gridCol w:w="1973"/>
        <w:gridCol w:w="1973"/>
        <w:gridCol w:w="1973"/>
        <w:gridCol w:w="1973"/>
        <w:gridCol w:w="1973"/>
      </w:tblGrid>
      <w:tr>
        <w:tc>
          <w:tcPr>
            <w:tcW w:type="dxa" w:w="1701"/>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18"/>
              </w:rPr>
              <w:t>Permit Category</w:t>
            </w:r>
          </w:p>
        </w:tc>
        <w:tc>
          <w:tcPr>
            <w:tcW w:type="dxa" w:w="1304"/>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18"/>
              </w:rPr>
              <w:t>Validity / Renewal</w:t>
            </w:r>
          </w:p>
        </w:tc>
        <w:tc>
          <w:tcPr>
            <w:tcW w:type="dxa" w:w="2551"/>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18"/>
              </w:rPr>
              <w:t>Scope of Activities Covered</w:t>
            </w:r>
          </w:p>
        </w:tc>
        <w:tc>
          <w:tcPr>
            <w:tcW w:type="dxa" w:w="2268"/>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18"/>
              </w:rPr>
              <w:t>Mandatory Prerequisites &amp; Attachments</w:t>
            </w:r>
          </w:p>
        </w:tc>
        <w:tc>
          <w:tcPr>
            <w:tcW w:type="dxa" w:w="2041"/>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18"/>
              </w:rPr>
              <w:t>Key On-Site Control Measures</w:t>
            </w:r>
          </w:p>
        </w:tc>
      </w:tr>
      <w:tr>
        <w:tc>
          <w:tcPr>
            <w:tcW w:type="dxa" w:w="1701"/>
            <w:tcMar>
              <w:top w:w="60" w:type="dxa"/>
              <w:bottom w:w="60" w:type="dxa"/>
              <w:start w:w="110" w:type="dxa"/>
              <w:end w:w="110" w:type="dxa"/>
            </w:tcMar>
            <w:vAlign w:val="center"/>
          </w:tcPr>
          <w:p>
            <w:pPr>
              <w:spacing w:after="40" w:before="20"/>
            </w:pPr>
            <w:r>
              <w:rPr>
                <w:rFonts w:ascii="Calibri" w:hAnsi="Calibri"/>
                <w:b/>
                <w:i w:val="0"/>
                <w:color w:val="003B4A"/>
                <w:sz w:val="18"/>
              </w:rPr>
              <w:t>1. General Cold Work Permit</w:t>
            </w:r>
          </w:p>
        </w:tc>
        <w:tc>
          <w:tcPr>
            <w:tcW w:type="dxa" w:w="1304"/>
            <w:tcMar>
              <w:top w:w="60" w:type="dxa"/>
              <w:bottom w:w="60" w:type="dxa"/>
              <w:start w:w="110" w:type="dxa"/>
              <w:end w:w="110" w:type="dxa"/>
            </w:tcMar>
            <w:vAlign w:val="center"/>
          </w:tcPr>
          <w:p>
            <w:pPr>
              <w:spacing w:after="40" w:before="20"/>
            </w:pPr>
            <w:r>
              <w:rPr>
                <w:rFonts w:ascii="Calibri" w:hAnsi="Calibri"/>
                <w:b w:val="0"/>
                <w:i/>
                <w:color w:val="5A6469"/>
                <w:sz w:val="18"/>
              </w:rPr>
              <w:t>Weekly (Max 7 Days with Daily Endorsement)</w:t>
            </w:r>
          </w:p>
        </w:tc>
        <w:tc>
          <w:tcPr>
            <w:tcW w:type="dxa" w:w="2551"/>
            <w:tcMar>
              <w:top w:w="60" w:type="dxa"/>
              <w:bottom w:w="60" w:type="dxa"/>
              <w:start w:w="110" w:type="dxa"/>
              <w:end w:w="110" w:type="dxa"/>
            </w:tcMar>
            <w:vAlign w:val="center"/>
          </w:tcPr>
          <w:p>
            <w:pPr>
              <w:spacing w:after="40" w:before="20"/>
            </w:pPr>
            <w:r>
              <w:rPr>
                <w:rFonts w:ascii="Calibri" w:hAnsi="Calibri"/>
                <w:b w:val="0"/>
                <w:i w:val="0"/>
                <w:color w:val="222A2E"/>
                <w:sz w:val="18"/>
              </w:rPr>
              <w:t>General mechanical assembly/disassembly, piping installation, routine civil works, and non-hazardous maintenance not involving heat or live energy.</w:t>
            </w:r>
          </w:p>
        </w:tc>
        <w:tc>
          <w:tcPr>
            <w:tcW w:type="dxa" w:w="2268"/>
            <w:tcMar>
              <w:top w:w="60" w:type="dxa"/>
              <w:bottom w:w="60" w:type="dxa"/>
              <w:start w:w="110" w:type="dxa"/>
              <w:end w:w="110" w:type="dxa"/>
            </w:tcMar>
            <w:vAlign w:val="center"/>
          </w:tcPr>
          <w:p>
            <w:pPr>
              <w:spacing w:after="40" w:before="20"/>
            </w:pPr>
            <w:r>
              <w:rPr>
                <w:rFonts w:ascii="Calibri" w:hAnsi="Calibri"/>
                <w:b w:val="0"/>
                <w:i w:val="0"/>
                <w:color w:val="222A2E"/>
                <w:sz w:val="18"/>
              </w:rPr>
              <w:t>Approved JSA / Method Statement. Equipment pre-use inspection checklist.</w:t>
            </w:r>
          </w:p>
        </w:tc>
        <w:tc>
          <w:tcPr>
            <w:tcW w:type="dxa" w:w="2041"/>
            <w:tcMar>
              <w:top w:w="60" w:type="dxa"/>
              <w:bottom w:w="60" w:type="dxa"/>
              <w:start w:w="110" w:type="dxa"/>
              <w:end w:w="110" w:type="dxa"/>
            </w:tcMar>
            <w:vAlign w:val="center"/>
          </w:tcPr>
          <w:p>
            <w:pPr>
              <w:spacing w:after="40" w:before="20"/>
            </w:pPr>
            <w:r>
              <w:rPr>
                <w:rFonts w:ascii="Calibri" w:hAnsi="Calibri"/>
                <w:b w:val="0"/>
                <w:i w:val="0"/>
                <w:color w:val="222A2E"/>
                <w:sz w:val="18"/>
              </w:rPr>
              <w:t>Standard PPE enforcement. Housekeeping and path barricading. Tool tethering and safe access routes.</w:t>
            </w:r>
          </w:p>
        </w:tc>
      </w:tr>
      <w:tr>
        <w:tc>
          <w:tcPr>
            <w:tcW w:type="dxa" w:w="1701"/>
            <w:tcMar>
              <w:top w:w="60" w:type="dxa"/>
              <w:bottom w:w="60" w:type="dxa"/>
              <w:start w:w="110" w:type="dxa"/>
              <w:end w:w="110" w:type="dxa"/>
            </w:tcMar>
            <w:vAlign w:val="center"/>
            <w:shd w:val="clear" w:color="auto" w:fill="EAF4F5"/>
          </w:tcPr>
          <w:p>
            <w:pPr>
              <w:spacing w:after="40" w:before="20"/>
            </w:pPr>
            <w:r>
              <w:rPr>
                <w:rFonts w:ascii="Calibri" w:hAnsi="Calibri"/>
                <w:b/>
                <w:i w:val="0"/>
                <w:color w:val="003B4A"/>
                <w:sz w:val="18"/>
              </w:rPr>
              <w:t>2. Electrical Cold Work Permit</w:t>
            </w:r>
          </w:p>
        </w:tc>
        <w:tc>
          <w:tcPr>
            <w:tcW w:type="dxa" w:w="1304"/>
            <w:tcMar>
              <w:top w:w="60" w:type="dxa"/>
              <w:bottom w:w="60" w:type="dxa"/>
              <w:start w:w="110" w:type="dxa"/>
              <w:end w:w="110" w:type="dxa"/>
            </w:tcMar>
            <w:vAlign w:val="center"/>
            <w:shd w:val="clear" w:color="auto" w:fill="EAF4F5"/>
          </w:tcPr>
          <w:p>
            <w:pPr>
              <w:spacing w:after="40" w:before="20"/>
            </w:pPr>
            <w:r>
              <w:rPr>
                <w:rFonts w:ascii="Calibri" w:hAnsi="Calibri"/>
                <w:b w:val="0"/>
                <w:i/>
                <w:color w:val="5A6469"/>
                <w:sz w:val="18"/>
              </w:rPr>
              <w:t>Weekly (Max 7 Days with Daily Endorsement)</w:t>
            </w:r>
          </w:p>
        </w:tc>
        <w:tc>
          <w:tcPr>
            <w:tcW w:type="dxa" w:w="2551"/>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Non-energized electrical works, cable pulling, ladder tray installation, panel mounting, dead cable splicing, and general electrical installation activities (de-energized state).</w:t>
            </w:r>
          </w:p>
        </w:tc>
        <w:tc>
          <w:tcPr>
            <w:tcW w:type="dxa" w:w="2268"/>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Approved JSA &amp; Installation Method Statement. Single-Line Diagram (SLD) / Layout Drawing. Insulated Tool Inspection Checklist.</w:t>
            </w:r>
          </w:p>
        </w:tc>
        <w:tc>
          <w:tcPr>
            <w:tcW w:type="dxa" w:w="2041"/>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Verification of completely de-energized system state. Calibrated insulated hand tools (1000 V rated). Barricading around active installation zones. Standard electrical PPE (safety shoes, leather gloves).</w:t>
            </w:r>
          </w:p>
        </w:tc>
      </w:tr>
      <w:tr>
        <w:tc>
          <w:tcPr>
            <w:tcW w:type="dxa" w:w="1701"/>
            <w:tcMar>
              <w:top w:w="60" w:type="dxa"/>
              <w:bottom w:w="60" w:type="dxa"/>
              <w:start w:w="110" w:type="dxa"/>
              <w:end w:w="110" w:type="dxa"/>
            </w:tcMar>
            <w:vAlign w:val="center"/>
          </w:tcPr>
          <w:p>
            <w:pPr>
              <w:spacing w:after="40" w:before="20"/>
            </w:pPr>
            <w:r>
              <w:rPr>
                <w:rFonts w:ascii="Calibri" w:hAnsi="Calibri"/>
                <w:b/>
                <w:i w:val="0"/>
                <w:color w:val="003B4A"/>
                <w:sz w:val="18"/>
              </w:rPr>
              <w:t>3. Electrical Hot Work &amp; Commissioning Permit</w:t>
            </w:r>
          </w:p>
        </w:tc>
        <w:tc>
          <w:tcPr>
            <w:tcW w:type="dxa" w:w="1304"/>
            <w:tcMar>
              <w:top w:w="60" w:type="dxa"/>
              <w:bottom w:w="60" w:type="dxa"/>
              <w:start w:w="110" w:type="dxa"/>
              <w:end w:w="110" w:type="dxa"/>
            </w:tcMar>
            <w:vAlign w:val="center"/>
          </w:tcPr>
          <w:p>
            <w:pPr>
              <w:spacing w:after="40" w:before="20"/>
            </w:pPr>
            <w:r>
              <w:rPr>
                <w:rFonts w:ascii="Calibri" w:hAnsi="Calibri"/>
                <w:b w:val="0"/>
                <w:i/>
                <w:color w:val="5A6469"/>
                <w:sz w:val="18"/>
              </w:rPr>
              <w:t>Daily (Must be renewed every shift)</w:t>
            </w:r>
          </w:p>
        </w:tc>
        <w:tc>
          <w:tcPr>
            <w:tcW w:type="dxa" w:w="2551"/>
            <w:tcMar>
              <w:top w:w="60" w:type="dxa"/>
              <w:bottom w:w="60" w:type="dxa"/>
              <w:start w:w="110" w:type="dxa"/>
              <w:end w:w="110" w:type="dxa"/>
            </w:tcMar>
            <w:vAlign w:val="center"/>
          </w:tcPr>
          <w:p>
            <w:pPr>
              <w:spacing w:after="40" w:before="20"/>
            </w:pPr>
            <w:r>
              <w:rPr>
                <w:rFonts w:ascii="Calibri" w:hAnsi="Calibri"/>
                <w:b w:val="0"/>
                <w:i w:val="0"/>
                <w:color w:val="222A2E"/>
                <w:sz w:val="18"/>
              </w:rPr>
              <w:t>Energized electrical works, commissioning activities, live testing/troubleshooting, switchgear energization, transformer testing, MCC energization, and HV/LV commissioning tasks.</w:t>
            </w:r>
          </w:p>
        </w:tc>
        <w:tc>
          <w:tcPr>
            <w:tcW w:type="dxa" w:w="2268"/>
            <w:tcMar>
              <w:top w:w="60" w:type="dxa"/>
              <w:bottom w:w="60" w:type="dxa"/>
              <w:start w:w="110" w:type="dxa"/>
              <w:end w:w="110" w:type="dxa"/>
            </w:tcMar>
            <w:vAlign w:val="center"/>
          </w:tcPr>
          <w:p>
            <w:pPr>
              <w:spacing w:after="40" w:before="20"/>
            </w:pPr>
            <w:r>
              <w:rPr>
                <w:rFonts w:ascii="Calibri" w:hAnsi="Calibri"/>
                <w:b w:val="0"/>
                <w:i w:val="0"/>
                <w:color w:val="222A2E"/>
                <w:sz w:val="18"/>
              </w:rPr>
              <w:t>Approved JSA &amp; Commissioning Method Statement. SLD / Energization Plan. Arc Flash Risk Assessment &amp; Boundary Calculation. AEP Authorization Certificate.</w:t>
            </w:r>
          </w:p>
        </w:tc>
        <w:tc>
          <w:tcPr>
            <w:tcW w:type="dxa" w:w="2041"/>
            <w:tcMar>
              <w:top w:w="60" w:type="dxa"/>
              <w:bottom w:w="60" w:type="dxa"/>
              <w:start w:w="110" w:type="dxa"/>
              <w:end w:w="110" w:type="dxa"/>
            </w:tcMar>
            <w:vAlign w:val="center"/>
          </w:tcPr>
          <w:p>
            <w:pPr>
              <w:spacing w:after="40" w:before="20"/>
            </w:pPr>
            <w:r>
              <w:rPr>
                <w:rFonts w:ascii="Calibri" w:hAnsi="Calibri"/>
                <w:b w:val="0"/>
                <w:i w:val="0"/>
                <w:color w:val="222A2E"/>
                <w:sz w:val="18"/>
              </w:rPr>
              <w:t>Arc Flash PPE Category 2/4 (face shield, flame-resistant suit/hood). Calibrated voltage detectors &amp; insulated tools. Dielectric insulating rubber mats at panel front. AEP supervision on-site. Barricading with Arc Flash warning signage.</w:t>
            </w:r>
          </w:p>
        </w:tc>
      </w:tr>
      <w:tr>
        <w:tc>
          <w:tcPr>
            <w:tcW w:type="dxa" w:w="1701"/>
            <w:tcMar>
              <w:top w:w="60" w:type="dxa"/>
              <w:bottom w:w="60" w:type="dxa"/>
              <w:start w:w="110" w:type="dxa"/>
              <w:end w:w="110" w:type="dxa"/>
            </w:tcMar>
            <w:vAlign w:val="center"/>
            <w:shd w:val="clear" w:color="auto" w:fill="EAF4F5"/>
          </w:tcPr>
          <w:p>
            <w:pPr>
              <w:spacing w:after="40" w:before="20"/>
            </w:pPr>
            <w:r>
              <w:rPr>
                <w:rFonts w:ascii="Calibri" w:hAnsi="Calibri"/>
                <w:b/>
                <w:i w:val="0"/>
                <w:color w:val="003B4A"/>
                <w:sz w:val="18"/>
              </w:rPr>
              <w:t>4. Energy Isolation (LOTO) Permit</w:t>
            </w:r>
          </w:p>
        </w:tc>
        <w:tc>
          <w:tcPr>
            <w:tcW w:type="dxa" w:w="1304"/>
            <w:tcMar>
              <w:top w:w="60" w:type="dxa"/>
              <w:bottom w:w="60" w:type="dxa"/>
              <w:start w:w="110" w:type="dxa"/>
              <w:end w:w="110" w:type="dxa"/>
            </w:tcMar>
            <w:vAlign w:val="center"/>
            <w:shd w:val="clear" w:color="auto" w:fill="EAF4F5"/>
          </w:tcPr>
          <w:p>
            <w:pPr>
              <w:spacing w:after="40" w:before="20"/>
            </w:pPr>
            <w:r>
              <w:rPr>
                <w:rFonts w:ascii="Calibri" w:hAnsi="Calibri"/>
                <w:b w:val="0"/>
                <w:i/>
                <w:color w:val="5A6469"/>
                <w:sz w:val="18"/>
              </w:rPr>
              <w:t>Daily (Must be renewed every shift)</w:t>
            </w:r>
          </w:p>
        </w:tc>
        <w:tc>
          <w:tcPr>
            <w:tcW w:type="dxa" w:w="2551"/>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All mechanical, pneumatic, hydraulic, thermal, and electrical energy isolations associated with maintenance or commissioning activities. LOTO validity is managed separately from PTW validity: isolations remain under Isolation Authority control until formal de-isolation, regardless of permit expiry/renewal.</w:t>
            </w:r>
          </w:p>
        </w:tc>
        <w:tc>
          <w:tcPr>
            <w:tcW w:type="dxa" w:w="2268"/>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Approved JSA &amp; Isolation Plan. P&amp;ID / SLD Isolation Drawing. LOTO Key Register &amp; Isolation Certificate.</w:t>
            </w:r>
          </w:p>
        </w:tc>
        <w:tc>
          <w:tcPr>
            <w:tcW w:type="dxa" w:w="2041"/>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Physical padlocks, hasps, and “DO NOT OPERATE” tags applied. Zero Energy State verification test (voltage check, depressurization). Lockbox key containment under AEP control.</w:t>
            </w:r>
          </w:p>
        </w:tc>
      </w:tr>
      <w:tr>
        <w:tc>
          <w:tcPr>
            <w:tcW w:type="dxa" w:w="1701"/>
            <w:tcMar>
              <w:top w:w="60" w:type="dxa"/>
              <w:bottom w:w="60" w:type="dxa"/>
              <w:start w:w="110" w:type="dxa"/>
              <w:end w:w="110" w:type="dxa"/>
            </w:tcMar>
            <w:vAlign w:val="center"/>
          </w:tcPr>
          <w:p>
            <w:pPr>
              <w:spacing w:after="40" w:before="20"/>
            </w:pPr>
            <w:r>
              <w:rPr>
                <w:rFonts w:ascii="Calibri" w:hAnsi="Calibri"/>
                <w:b/>
                <w:i w:val="0"/>
                <w:color w:val="003B4A"/>
                <w:sz w:val="18"/>
              </w:rPr>
              <w:t>5. Hot Work Permit (Thermal / Open Flame)</w:t>
            </w:r>
          </w:p>
        </w:tc>
        <w:tc>
          <w:tcPr>
            <w:tcW w:type="dxa" w:w="1304"/>
            <w:tcMar>
              <w:top w:w="60" w:type="dxa"/>
              <w:bottom w:w="60" w:type="dxa"/>
              <w:start w:w="110" w:type="dxa"/>
              <w:end w:w="110" w:type="dxa"/>
            </w:tcMar>
            <w:vAlign w:val="center"/>
          </w:tcPr>
          <w:p>
            <w:pPr>
              <w:spacing w:after="40" w:before="20"/>
            </w:pPr>
            <w:r>
              <w:rPr>
                <w:rFonts w:ascii="Calibri" w:hAnsi="Calibri"/>
                <w:b w:val="0"/>
                <w:i/>
                <w:color w:val="5A6469"/>
                <w:sz w:val="18"/>
              </w:rPr>
              <w:t>Daily (Must be renewed every shift)</w:t>
            </w:r>
          </w:p>
        </w:tc>
        <w:tc>
          <w:tcPr>
            <w:tcW w:type="dxa" w:w="2551"/>
            <w:tcMar>
              <w:top w:w="60" w:type="dxa"/>
              <w:bottom w:w="60" w:type="dxa"/>
              <w:start w:w="110" w:type="dxa"/>
              <w:end w:w="110" w:type="dxa"/>
            </w:tcMar>
            <w:vAlign w:val="center"/>
          </w:tcPr>
          <w:p>
            <w:pPr>
              <w:spacing w:after="40" w:before="20"/>
            </w:pPr>
            <w:r>
              <w:rPr>
                <w:rFonts w:ascii="Calibri" w:hAnsi="Calibri"/>
                <w:b w:val="0"/>
                <w:i w:val="0"/>
                <w:color w:val="222A2E"/>
                <w:sz w:val="18"/>
              </w:rPr>
              <w:t>Welding, flame cutting, grinding, soldering, thermal spraying, or any activity producing sparks, open flames, or heat above 100°C.</w:t>
            </w:r>
          </w:p>
        </w:tc>
        <w:tc>
          <w:tcPr>
            <w:tcW w:type="dxa" w:w="2268"/>
            <w:tcMar>
              <w:top w:w="60" w:type="dxa"/>
              <w:bottom w:w="60" w:type="dxa"/>
              <w:start w:w="110" w:type="dxa"/>
              <w:end w:w="110" w:type="dxa"/>
            </w:tcMar>
            <w:vAlign w:val="center"/>
          </w:tcPr>
          <w:p>
            <w:pPr>
              <w:spacing w:after="40" w:before="20"/>
            </w:pPr>
            <w:r>
              <w:rPr>
                <w:rFonts w:ascii="Calibri" w:hAnsi="Calibri"/>
                <w:b w:val="0"/>
                <w:i w:val="0"/>
                <w:color w:val="222A2E"/>
                <w:sz w:val="18"/>
              </w:rPr>
              <w:t>Approved JSA. Fire Watch appointment form. Gas Test certificate (if near fuel/chemical zones).</w:t>
            </w:r>
          </w:p>
        </w:tc>
        <w:tc>
          <w:tcPr>
            <w:tcW w:type="dxa" w:w="2041"/>
            <w:tcMar>
              <w:top w:w="60" w:type="dxa"/>
              <w:bottom w:w="60" w:type="dxa"/>
              <w:start w:w="110" w:type="dxa"/>
              <w:end w:w="110" w:type="dxa"/>
            </w:tcMar>
            <w:vAlign w:val="center"/>
          </w:tcPr>
          <w:p>
            <w:pPr>
              <w:spacing w:after="40" w:before="20"/>
            </w:pPr>
            <w:r>
              <w:rPr>
                <w:rFonts w:ascii="Calibri" w:hAnsi="Calibri"/>
                <w:b w:val="0"/>
                <w:i w:val="0"/>
                <w:color w:val="222A2E"/>
                <w:sz w:val="18"/>
              </w:rPr>
              <w:t>Fire blanket containment &amp; 10 m combustible clearance. Dedicated Fire Watch during work + 30 min post-work. Min. 2× 10 kg Dry Chemical Powder / CO2 extinguishers at site.</w:t>
            </w:r>
          </w:p>
        </w:tc>
      </w:tr>
      <w:tr>
        <w:tc>
          <w:tcPr>
            <w:tcW w:type="dxa" w:w="1701"/>
            <w:tcMar>
              <w:top w:w="60" w:type="dxa"/>
              <w:bottom w:w="60" w:type="dxa"/>
              <w:start w:w="110" w:type="dxa"/>
              <w:end w:w="110" w:type="dxa"/>
            </w:tcMar>
            <w:vAlign w:val="center"/>
            <w:shd w:val="clear" w:color="auto" w:fill="EAF4F5"/>
          </w:tcPr>
          <w:p>
            <w:pPr>
              <w:spacing w:after="40" w:before="20"/>
            </w:pPr>
            <w:r>
              <w:rPr>
                <w:rFonts w:ascii="Calibri" w:hAnsi="Calibri"/>
                <w:b/>
                <w:i w:val="0"/>
                <w:color w:val="003B4A"/>
                <w:sz w:val="18"/>
              </w:rPr>
              <w:t>6. Excavation &amp; Trenching Permit</w:t>
            </w:r>
          </w:p>
        </w:tc>
        <w:tc>
          <w:tcPr>
            <w:tcW w:type="dxa" w:w="1304"/>
            <w:tcMar>
              <w:top w:w="60" w:type="dxa"/>
              <w:bottom w:w="60" w:type="dxa"/>
              <w:start w:w="110" w:type="dxa"/>
              <w:end w:w="110" w:type="dxa"/>
            </w:tcMar>
            <w:vAlign w:val="center"/>
            <w:shd w:val="clear" w:color="auto" w:fill="EAF4F5"/>
          </w:tcPr>
          <w:p>
            <w:pPr>
              <w:spacing w:after="40" w:before="20"/>
            </w:pPr>
            <w:r>
              <w:rPr>
                <w:rFonts w:ascii="Calibri" w:hAnsi="Calibri"/>
                <w:b w:val="0"/>
                <w:i/>
                <w:color w:val="5A6469"/>
                <w:sz w:val="18"/>
              </w:rPr>
              <w:t>Weekly (Max 7 Days with Daily Endorsement)</w:t>
            </w:r>
          </w:p>
        </w:tc>
        <w:tc>
          <w:tcPr>
            <w:tcW w:type="dxa" w:w="2551"/>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Manual or mechanical digging, trenching, piling, or ground penetration exceeding 30 cm depth.</w:t>
            </w:r>
          </w:p>
        </w:tc>
        <w:tc>
          <w:tcPr>
            <w:tcW w:type="dxa" w:w="2268"/>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Underground Utility Clearance Map (signed by Electrical/Instrumentation). Approved JSA &amp; Soil Classification.</w:t>
            </w:r>
          </w:p>
        </w:tc>
        <w:tc>
          <w:tcPr>
            <w:tcW w:type="dxa" w:w="2041"/>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Shoring, benching, or sloped walls for excavations &gt; 1.2 m. Ladders positioned every 7.5 m for emergency egress. Spoil heaps set back at least 1.0 m from trench edge.</w:t>
            </w:r>
          </w:p>
        </w:tc>
      </w:tr>
      <w:tr>
        <w:tc>
          <w:tcPr>
            <w:tcW w:type="dxa" w:w="1701"/>
            <w:tcMar>
              <w:top w:w="60" w:type="dxa"/>
              <w:bottom w:w="60" w:type="dxa"/>
              <w:start w:w="110" w:type="dxa"/>
              <w:end w:w="110" w:type="dxa"/>
            </w:tcMar>
            <w:vAlign w:val="center"/>
          </w:tcPr>
          <w:p>
            <w:pPr>
              <w:spacing w:after="40" w:before="20"/>
            </w:pPr>
            <w:r>
              <w:rPr>
                <w:rFonts w:ascii="Calibri" w:hAnsi="Calibri"/>
                <w:b/>
                <w:i w:val="0"/>
                <w:color w:val="003B4A"/>
                <w:sz w:val="18"/>
              </w:rPr>
              <w:t>7. Lifting Permit (Mandatory Lifting Plan)</w:t>
            </w:r>
          </w:p>
        </w:tc>
        <w:tc>
          <w:tcPr>
            <w:tcW w:type="dxa" w:w="1304"/>
            <w:tcMar>
              <w:top w:w="60" w:type="dxa"/>
              <w:bottom w:w="60" w:type="dxa"/>
              <w:start w:w="110" w:type="dxa"/>
              <w:end w:w="110" w:type="dxa"/>
            </w:tcMar>
            <w:vAlign w:val="center"/>
          </w:tcPr>
          <w:p>
            <w:pPr>
              <w:spacing w:after="40" w:before="20"/>
            </w:pPr>
            <w:r>
              <w:rPr>
                <w:rFonts w:ascii="Calibri" w:hAnsi="Calibri"/>
                <w:b w:val="0"/>
                <w:i/>
                <w:color w:val="5A6469"/>
                <w:sz w:val="18"/>
              </w:rPr>
              <w:t>Daily (Must be renewed every shift)</w:t>
            </w:r>
          </w:p>
        </w:tc>
        <w:tc>
          <w:tcPr>
            <w:tcW w:type="dxa" w:w="2551"/>
            <w:tcMar>
              <w:top w:w="60" w:type="dxa"/>
              <w:bottom w:w="60" w:type="dxa"/>
              <w:start w:w="110" w:type="dxa"/>
              <w:end w:w="110" w:type="dxa"/>
            </w:tcMar>
            <w:vAlign w:val="center"/>
          </w:tcPr>
          <w:p>
            <w:pPr>
              <w:spacing w:after="40" w:before="20"/>
            </w:pPr>
            <w:r>
              <w:rPr>
                <w:rFonts w:ascii="Calibri" w:hAnsi="Calibri"/>
                <w:b w:val="0"/>
                <w:i w:val="0"/>
                <w:color w:val="222A2E"/>
                <w:sz w:val="18"/>
              </w:rPr>
              <w:t>ALL lifting operations using mobile cranes, tower cranes, overhead cranes, or heavy rigging gear without exception. Critical lifts (e.g., loads &gt; 75% of crane rated capacity, multi-crane lifts, lifts over live plant / energized equipment, tandem or non-routine heavy rigging) require a detailed, engineered Lifting Plan prepared, reviewed and approved by a competent lifting authority. Routine lifts (well within crane capacity, standard rigging) may proceed under a standard lift plan / rigging checklist attached to the permit.</w:t>
            </w:r>
          </w:p>
        </w:tc>
        <w:tc>
          <w:tcPr>
            <w:tcW w:type="dxa" w:w="2268"/>
            <w:tcMar>
              <w:top w:w="60" w:type="dxa"/>
              <w:bottom w:w="60" w:type="dxa"/>
              <w:start w:w="110" w:type="dxa"/>
              <w:end w:w="110" w:type="dxa"/>
            </w:tcMar>
            <w:vAlign w:val="center"/>
          </w:tcPr>
          <w:p>
            <w:pPr>
              <w:spacing w:after="40" w:before="20"/>
            </w:pPr>
            <w:r>
              <w:rPr>
                <w:rFonts w:ascii="Calibri" w:hAnsi="Calibri"/>
                <w:b w:val="0"/>
                <w:i w:val="0"/>
                <w:color w:val="222A2E"/>
                <w:sz w:val="18"/>
              </w:rPr>
              <w:t>LIFTING PLAN – mandatory &amp; detailed for critical lifts; standard lift plan / rigging checklist for routine lifts (classified by the appointed lift planner). 3rd-party crane &amp; tackle certificates. Operator &amp; Rigger competency cards.</w:t>
            </w:r>
          </w:p>
        </w:tc>
        <w:tc>
          <w:tcPr>
            <w:tcW w:type="dxa" w:w="2041"/>
            <w:tcMar>
              <w:top w:w="60" w:type="dxa"/>
              <w:bottom w:w="60" w:type="dxa"/>
              <w:start w:w="110" w:type="dxa"/>
              <w:end w:w="110" w:type="dxa"/>
            </w:tcMar>
            <w:vAlign w:val="center"/>
          </w:tcPr>
          <w:p>
            <w:pPr>
              <w:spacing w:after="40" w:before="20"/>
            </w:pPr>
            <w:r>
              <w:rPr>
                <w:rFonts w:ascii="Calibri" w:hAnsi="Calibri"/>
                <w:b w:val="0"/>
                <w:i w:val="0"/>
                <w:color w:val="222A2E"/>
                <w:sz w:val="18"/>
              </w:rPr>
              <w:t>Outriggers 100% extended on timber pads. Barricaded exclusion zone around swing radius. Taglines for load control; no lifts in winds &gt; 32 km/h.</w:t>
            </w:r>
          </w:p>
        </w:tc>
      </w:tr>
      <w:tr>
        <w:tc>
          <w:tcPr>
            <w:tcW w:type="dxa" w:w="1701"/>
            <w:tcMar>
              <w:top w:w="60" w:type="dxa"/>
              <w:bottom w:w="60" w:type="dxa"/>
              <w:start w:w="110" w:type="dxa"/>
              <w:end w:w="110" w:type="dxa"/>
            </w:tcMar>
            <w:vAlign w:val="center"/>
            <w:shd w:val="clear" w:color="auto" w:fill="EAF4F5"/>
          </w:tcPr>
          <w:p>
            <w:pPr>
              <w:spacing w:after="40" w:before="20"/>
            </w:pPr>
            <w:r>
              <w:rPr>
                <w:rFonts w:ascii="Calibri" w:hAnsi="Calibri"/>
                <w:b/>
                <w:i w:val="0"/>
                <w:color w:val="003B4A"/>
                <w:sz w:val="18"/>
              </w:rPr>
              <w:t>8. Work at Height Permit</w:t>
            </w:r>
          </w:p>
        </w:tc>
        <w:tc>
          <w:tcPr>
            <w:tcW w:type="dxa" w:w="1304"/>
            <w:tcMar>
              <w:top w:w="60" w:type="dxa"/>
              <w:bottom w:w="60" w:type="dxa"/>
              <w:start w:w="110" w:type="dxa"/>
              <w:end w:w="110" w:type="dxa"/>
            </w:tcMar>
            <w:vAlign w:val="center"/>
            <w:shd w:val="clear" w:color="auto" w:fill="EAF4F5"/>
          </w:tcPr>
          <w:p>
            <w:pPr>
              <w:spacing w:after="40" w:before="20"/>
            </w:pPr>
            <w:r>
              <w:rPr>
                <w:rFonts w:ascii="Calibri" w:hAnsi="Calibri"/>
                <w:b w:val="0"/>
                <w:i/>
                <w:color w:val="5A6469"/>
                <w:sz w:val="18"/>
              </w:rPr>
              <w:t>Daily (Must be renewed every shift)</w:t>
            </w:r>
          </w:p>
        </w:tc>
        <w:tc>
          <w:tcPr>
            <w:tcW w:type="dxa" w:w="2551"/>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Any task performed at an elevated height of 1.8 meters or above where a fall hazard exists.</w:t>
            </w:r>
          </w:p>
        </w:tc>
        <w:tc>
          <w:tcPr>
            <w:tcW w:type="dxa" w:w="2268"/>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Scaffold Green Inspection Tag. Fall Protection Plan &amp; JSA.</w:t>
            </w:r>
          </w:p>
        </w:tc>
        <w:tc>
          <w:tcPr>
            <w:tcW w:type="dxa" w:w="2041"/>
            <w:tcMar>
              <w:top w:w="60" w:type="dxa"/>
              <w:bottom w:w="60" w:type="dxa"/>
              <w:start w:w="110" w:type="dxa"/>
              <w:end w:w="110" w:type="dxa"/>
            </w:tcMar>
            <w:vAlign w:val="center"/>
            <w:shd w:val="clear" w:color="auto" w:fill="EAF4F5"/>
          </w:tcPr>
          <w:p>
            <w:pPr>
              <w:spacing w:after="40" w:before="20"/>
            </w:pPr>
            <w:r>
              <w:rPr>
                <w:rFonts w:ascii="Calibri" w:hAnsi="Calibri"/>
                <w:b w:val="0"/>
                <w:i w:val="0"/>
                <w:color w:val="222A2E"/>
                <w:sz w:val="18"/>
              </w:rPr>
              <w:t>100% tie-off using double lanyard harnesses with shock absorbers attached to certified anchor points (&gt; 22 kN). Toe-boards and handrails installed on all working platforms.</w:t>
            </w:r>
          </w:p>
        </w:tc>
      </w:tr>
      <w:tr>
        <w:tc>
          <w:tcPr>
            <w:tcW w:type="dxa" w:w="1701"/>
            <w:tcMar>
              <w:top w:w="60" w:type="dxa"/>
              <w:bottom w:w="60" w:type="dxa"/>
              <w:start w:w="110" w:type="dxa"/>
              <w:end w:w="110" w:type="dxa"/>
            </w:tcMar>
            <w:vAlign w:val="center"/>
          </w:tcPr>
          <w:p>
            <w:pPr>
              <w:spacing w:after="40" w:before="20"/>
            </w:pPr>
            <w:r>
              <w:rPr>
                <w:rFonts w:ascii="Calibri" w:hAnsi="Calibri"/>
                <w:b/>
                <w:i w:val="0"/>
                <w:color w:val="003B4A"/>
                <w:sz w:val="18"/>
              </w:rPr>
              <w:t>9. Confined Space Entry Permit</w:t>
            </w:r>
          </w:p>
        </w:tc>
        <w:tc>
          <w:tcPr>
            <w:tcW w:type="dxa" w:w="1304"/>
            <w:tcMar>
              <w:top w:w="60" w:type="dxa"/>
              <w:bottom w:w="60" w:type="dxa"/>
              <w:start w:w="110" w:type="dxa"/>
              <w:end w:w="110" w:type="dxa"/>
            </w:tcMar>
            <w:vAlign w:val="center"/>
          </w:tcPr>
          <w:p>
            <w:pPr>
              <w:spacing w:after="40" w:before="20"/>
            </w:pPr>
            <w:r>
              <w:rPr>
                <w:rFonts w:ascii="Calibri" w:hAnsi="Calibri"/>
                <w:b w:val="0"/>
                <w:i/>
                <w:color w:val="5A6469"/>
                <w:sz w:val="18"/>
              </w:rPr>
              <w:t>Daily (Must be renewed every shift)</w:t>
            </w:r>
          </w:p>
        </w:tc>
        <w:tc>
          <w:tcPr>
            <w:tcW w:type="dxa" w:w="2551"/>
            <w:tcMar>
              <w:top w:w="60" w:type="dxa"/>
              <w:bottom w:w="60" w:type="dxa"/>
              <w:start w:w="110" w:type="dxa"/>
              <w:end w:w="110" w:type="dxa"/>
            </w:tcMar>
            <w:vAlign w:val="center"/>
          </w:tcPr>
          <w:p>
            <w:pPr>
              <w:spacing w:after="40" w:before="20"/>
            </w:pPr>
            <w:r>
              <w:rPr>
                <w:rFonts w:ascii="Calibri" w:hAnsi="Calibri"/>
                <w:b w:val="0"/>
                <w:i w:val="0"/>
                <w:color w:val="222A2E"/>
                <w:sz w:val="18"/>
              </w:rPr>
              <w:t>Entry into tanks, pressure vessels, underground ducts/vaults, manholes or other enclosures classified as confined spaces on the basis of risk assessment and atmospheric evaluation (restricted entry/exit and actual or potential hazardous atmosphere). Excavations and trenches are governed by the Excavation &amp; Trenching Permit and are treated as confined spaces only where a specific confined-space risk assessment so determines — depth alone does not define a confined space.</w:t>
            </w:r>
          </w:p>
        </w:tc>
        <w:tc>
          <w:tcPr>
            <w:tcW w:type="dxa" w:w="2268"/>
            <w:tcMar>
              <w:top w:w="60" w:type="dxa"/>
              <w:bottom w:w="60" w:type="dxa"/>
              <w:start w:w="110" w:type="dxa"/>
              <w:end w:w="110" w:type="dxa"/>
            </w:tcMar>
            <w:vAlign w:val="center"/>
          </w:tcPr>
          <w:p>
            <w:pPr>
              <w:spacing w:after="40" w:before="20"/>
            </w:pPr>
            <w:r>
              <w:rPr>
                <w:rFonts w:ascii="Calibri" w:hAnsi="Calibri"/>
                <w:b w:val="0"/>
                <w:i w:val="0"/>
                <w:color w:val="222A2E"/>
                <w:sz w:val="18"/>
              </w:rPr>
              <w:t>Approved JSA &amp; Emergency Rescue Plan. AGT Gas Test Log (O2, LEL, H2S, CO). Electrical &amp; Energy Isolation (LOTO) Certificate.</w:t>
            </w:r>
          </w:p>
        </w:tc>
        <w:tc>
          <w:tcPr>
            <w:tcW w:type="dxa" w:w="2041"/>
            <w:tcMar>
              <w:top w:w="60" w:type="dxa"/>
              <w:bottom w:w="60" w:type="dxa"/>
              <w:start w:w="110" w:type="dxa"/>
              <w:end w:w="110" w:type="dxa"/>
            </w:tcMar>
            <w:vAlign w:val="center"/>
          </w:tcPr>
          <w:p>
            <w:pPr>
              <w:spacing w:after="40" w:before="20"/>
            </w:pPr>
            <w:r>
              <w:rPr>
                <w:rFonts w:ascii="Calibri" w:hAnsi="Calibri"/>
                <w:b w:val="0"/>
                <w:i w:val="0"/>
                <w:color w:val="222A2E"/>
                <w:sz w:val="18"/>
              </w:rPr>
              <w:t>Continuous mechanical ventilation. Stationed Standby Entrant/Attendant at entry point with logbook. Full-body harness connected to tripod rescue winch. Confined-space classification confirmed by documented risk assessment before entry.</w:t>
            </w:r>
          </w:p>
        </w:tc>
      </w:tr>
    </w:tbl>
    <w:p>
      <w:pPr>
        <w:keepNext/>
        <w:spacing w:before="280" w:after="120"/>
        <w:pBdr>
          <w:bottom w:val="single" w:sz="12" w:space="3" w:color="007E8C"/>
        </w:pBdr>
      </w:pPr>
      <w:r>
        <w:rPr>
          <w:rFonts w:ascii="Calibri" w:hAnsi="Calibri"/>
          <w:b/>
          <w:color w:val="003B4A"/>
          <w:sz w:val="25"/>
        </w:rPr>
        <w:t>SECTION 4: PERMIT VALIDITY &amp; RENEWAL POLICY SUMMARY</w:t>
      </w:r>
    </w:p>
    <w:p>
      <w:pPr>
        <w:spacing w:after="80"/>
      </w:pPr>
      <w:r>
        <w:rPr>
          <w:rFonts w:ascii="Calibri" w:hAnsi="Calibri"/>
          <w:color w:val="222A2E"/>
          <w:sz w:val="21"/>
        </w:rPr>
        <w:t>SUMMARY OF PERMIT VALIDITY RULES</w:t>
      </w:r>
    </w:p>
    <w:tbl>
      <w:tblPr>
        <w:tblW w:type="auto" w:w="0"/>
        <w:tblLayout w:type="fixed"/>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Pr>
      <w:tblGrid>
        <w:gridCol w:w="4933"/>
        <w:gridCol w:w="4933"/>
      </w:tblGrid>
      <w:tr>
        <w:tc>
          <w:tcPr>
            <w:tcW w:type="dxa" w:w="4932"/>
            <w:shd w:val="clear" w:color="auto" w:fill="007E8C"/>
            <w:tcMar>
              <w:top w:w="60" w:type="dxa"/>
              <w:bottom w:w="60" w:type="dxa"/>
              <w:start w:w="110" w:type="dxa"/>
              <w:end w:w="110" w:type="dxa"/>
            </w:tcMar>
          </w:tcPr>
          <w:p>
            <w:pPr>
              <w:spacing w:after="40" w:before="20"/>
            </w:pPr>
            <w:r>
              <w:rPr>
                <w:rFonts w:ascii="Calibri" w:hAnsi="Calibri"/>
                <w:b/>
                <w:i w:val="0"/>
                <w:color w:val="FFFFFF"/>
                <w:sz w:val="19"/>
              </w:rPr>
              <w:t>WEEKLY PERMITS (Valid up to 7 Days with Daily Shift Check/Endorsement)</w:t>
            </w:r>
          </w:p>
        </w:tc>
        <w:tc>
          <w:tcPr>
            <w:tcW w:type="dxa" w:w="4932"/>
            <w:shd w:val="clear" w:color="auto" w:fill="007E8C"/>
            <w:tcMar>
              <w:top w:w="60" w:type="dxa"/>
              <w:bottom w:w="60" w:type="dxa"/>
              <w:start w:w="110" w:type="dxa"/>
              <w:end w:w="110" w:type="dxa"/>
            </w:tcMar>
          </w:tcPr>
          <w:p>
            <w:pPr>
              <w:spacing w:after="40" w:before="20"/>
            </w:pPr>
            <w:r>
              <w:rPr>
                <w:rFonts w:ascii="Calibri" w:hAnsi="Calibri"/>
                <w:b/>
                <w:i w:val="0"/>
                <w:color w:val="FFFFFF"/>
                <w:sz w:val="19"/>
              </w:rPr>
              <w:t>DAILY PERMITS (Must be Issued &amp; Re-evaluated Daily / Every Shift)</w:t>
            </w:r>
          </w:p>
        </w:tc>
      </w:tr>
      <w:tr>
        <w:tc>
          <w:tcPr>
            <w:tcW w:type="dxa" w:w="4932"/>
            <w:tcMar>
              <w:top w:w="60" w:type="dxa"/>
              <w:bottom w:w="60" w:type="dxa"/>
              <w:start w:w="110" w:type="dxa"/>
              <w:end w:w="110" w:type="dxa"/>
            </w:tcMar>
          </w:tcPr>
          <w:p>
            <w:pPr>
              <w:spacing w:after="40" w:before="20"/>
            </w:pPr>
            <w:r>
              <w:rPr>
                <w:rFonts w:ascii="Calibri" w:hAnsi="Calibri"/>
                <w:b w:val="0"/>
                <w:i w:val="0"/>
                <w:color w:val="222A2E"/>
                <w:sz w:val="19"/>
              </w:rPr>
              <w:t>▪  General Cold Work Permit</w:t>
            </w:r>
          </w:p>
        </w:tc>
        <w:tc>
          <w:tcPr>
            <w:tcW w:type="dxa" w:w="4932"/>
            <w:tcMar>
              <w:top w:w="60" w:type="dxa"/>
              <w:bottom w:w="60" w:type="dxa"/>
              <w:start w:w="110" w:type="dxa"/>
              <w:end w:w="110" w:type="dxa"/>
            </w:tcMar>
          </w:tcPr>
          <w:p>
            <w:pPr>
              <w:spacing w:after="40" w:before="20"/>
            </w:pPr>
            <w:r>
              <w:rPr>
                <w:rFonts w:ascii="Calibri" w:hAnsi="Calibri"/>
                <w:b w:val="0"/>
                <w:i w:val="0"/>
                <w:color w:val="222A2E"/>
                <w:sz w:val="19"/>
              </w:rPr>
              <w:t>▪  Electrical Hot Work &amp; Commissioning Permit (Energized / Testing)</w:t>
            </w:r>
          </w:p>
        </w:tc>
      </w:tr>
      <w:tr>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t>▪  Electrical Cold Work Permit (Installation / Non-Energized)</w:t>
            </w:r>
          </w:p>
        </w:tc>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t>▪  Energy Isolation (LOTO) Permit</w:t>
            </w:r>
          </w:p>
        </w:tc>
      </w:tr>
      <w:tr>
        <w:tc>
          <w:tcPr>
            <w:tcW w:type="dxa" w:w="4932"/>
            <w:tcMar>
              <w:top w:w="60" w:type="dxa"/>
              <w:bottom w:w="60" w:type="dxa"/>
              <w:start w:w="110" w:type="dxa"/>
              <w:end w:w="110" w:type="dxa"/>
            </w:tcMar>
          </w:tcPr>
          <w:p>
            <w:pPr>
              <w:spacing w:after="40" w:before="20"/>
            </w:pPr>
            <w:r>
              <w:rPr>
                <w:rFonts w:ascii="Calibri" w:hAnsi="Calibri"/>
                <w:b w:val="0"/>
                <w:i w:val="0"/>
                <w:color w:val="222A2E"/>
                <w:sz w:val="19"/>
              </w:rPr>
              <w:t>▪  Excavation &amp; Trenching Permit</w:t>
            </w:r>
          </w:p>
        </w:tc>
        <w:tc>
          <w:tcPr>
            <w:tcW w:type="dxa" w:w="4932"/>
            <w:tcMar>
              <w:top w:w="60" w:type="dxa"/>
              <w:bottom w:w="60" w:type="dxa"/>
              <w:start w:w="110" w:type="dxa"/>
              <w:end w:w="110" w:type="dxa"/>
            </w:tcMar>
          </w:tcPr>
          <w:p>
            <w:pPr>
              <w:spacing w:after="40" w:before="20"/>
            </w:pPr>
            <w:r>
              <w:rPr>
                <w:rFonts w:ascii="Calibri" w:hAnsi="Calibri"/>
                <w:b w:val="0"/>
                <w:i w:val="0"/>
                <w:color w:val="222A2E"/>
                <w:sz w:val="19"/>
              </w:rPr>
              <w:t>▪  Hot Work Permit (Thermal / Welding / Cutting)</w:t>
            </w:r>
          </w:p>
        </w:tc>
      </w:tr>
      <w:tr>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r>
          </w:p>
        </w:tc>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t>▪  Lifting Permit (Cranes &amp; Heavy Rigging)</w:t>
            </w:r>
          </w:p>
        </w:tc>
      </w:tr>
      <w:tr>
        <w:tc>
          <w:tcPr>
            <w:tcW w:type="dxa" w:w="4932"/>
            <w:tcMar>
              <w:top w:w="60" w:type="dxa"/>
              <w:bottom w:w="60" w:type="dxa"/>
              <w:start w:w="110" w:type="dxa"/>
              <w:end w:w="110" w:type="dxa"/>
            </w:tcMar>
          </w:tcPr>
          <w:p>
            <w:pPr>
              <w:spacing w:after="40" w:before="20"/>
            </w:pPr>
            <w:r>
              <w:rPr>
                <w:rFonts w:ascii="Calibri" w:hAnsi="Calibri"/>
                <w:b w:val="0"/>
                <w:i w:val="0"/>
                <w:color w:val="222A2E"/>
                <w:sz w:val="19"/>
              </w:rPr>
            </w:r>
          </w:p>
        </w:tc>
        <w:tc>
          <w:tcPr>
            <w:tcW w:type="dxa" w:w="4932"/>
            <w:tcMar>
              <w:top w:w="60" w:type="dxa"/>
              <w:bottom w:w="60" w:type="dxa"/>
              <w:start w:w="110" w:type="dxa"/>
              <w:end w:w="110" w:type="dxa"/>
            </w:tcMar>
          </w:tcPr>
          <w:p>
            <w:pPr>
              <w:spacing w:after="40" w:before="20"/>
            </w:pPr>
            <w:r>
              <w:rPr>
                <w:rFonts w:ascii="Calibri" w:hAnsi="Calibri"/>
                <w:b w:val="0"/>
                <w:i w:val="0"/>
                <w:color w:val="222A2E"/>
                <w:sz w:val="19"/>
              </w:rPr>
              <w:t>▪  Work at Height Permit (≥ 1.8 m)</w:t>
            </w:r>
          </w:p>
        </w:tc>
      </w:tr>
      <w:tr>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r>
          </w:p>
        </w:tc>
        <w:tc>
          <w:tcPr>
            <w:tcW w:type="dxa" w:w="4932"/>
            <w:tcMar>
              <w:top w:w="60" w:type="dxa"/>
              <w:bottom w:w="60" w:type="dxa"/>
              <w:start w:w="110" w:type="dxa"/>
              <w:end w:w="110" w:type="dxa"/>
            </w:tcMar>
            <w:shd w:val="clear" w:color="auto" w:fill="EAF4F5"/>
          </w:tcPr>
          <w:p>
            <w:pPr>
              <w:spacing w:after="40" w:before="20"/>
            </w:pPr>
            <w:r>
              <w:rPr>
                <w:rFonts w:ascii="Calibri" w:hAnsi="Calibri"/>
                <w:b w:val="0"/>
                <w:i w:val="0"/>
                <w:color w:val="222A2E"/>
                <w:sz w:val="19"/>
              </w:rPr>
              <w:t>▪  Confined Space Entry Permit</w:t>
            </w:r>
          </w:p>
        </w:tc>
      </w:tr>
    </w:tbl>
    <w:p>
      <w:pPr>
        <w:keepNext/>
        <w:spacing w:before="280" w:after="120"/>
        <w:pBdr>
          <w:bottom w:val="single" w:sz="12" w:space="3" w:color="007E8C"/>
        </w:pBdr>
      </w:pPr>
      <w:r>
        <w:rPr>
          <w:rFonts w:ascii="Calibri" w:hAnsi="Calibri"/>
          <w:b/>
          <w:color w:val="003B4A"/>
          <w:sz w:val="25"/>
        </w:rPr>
        <w:t>SECTION 5: PERMIT LIFECYCLE &amp; WORKFLOW PROCEDURES</w:t>
      </w:r>
    </w:p>
    <w:p>
      <w:pPr>
        <w:spacing w:after="80"/>
      </w:pPr>
      <w:r>
        <w:rPr>
          <w:rFonts w:ascii="Calibri" w:hAnsi="Calibri"/>
          <w:color w:val="222A2E"/>
          <w:sz w:val="21"/>
        </w:rPr>
        <w:t>THREE-STEP PERMIT MANAGEMENT WORKFLOW</w:t>
      </w:r>
    </w:p>
    <w:tbl>
      <w:tblPr>
        <w:tblW w:type="auto" w:w="0"/>
        <w:tblLayout w:type="fixed"/>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Pr>
      <w:tblGrid>
        <w:gridCol w:w="4933"/>
        <w:gridCol w:w="4933"/>
      </w:tblGrid>
      <w:tr>
        <w:tc>
          <w:tcPr>
            <w:tcW w:type="dxa" w:w="2948"/>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STEP 1 — Application &amp; Submission (T-24 Hours)</w:t>
            </w:r>
          </w:p>
        </w:tc>
        <w:tc>
          <w:tcPr>
            <w:tcW w:type="dxa" w:w="6917"/>
            <w:tcMar>
              <w:top w:w="60" w:type="dxa"/>
              <w:bottom w:w="60" w:type="dxa"/>
              <w:start w:w="110" w:type="dxa"/>
              <w:end w:w="110" w:type="dxa"/>
            </w:tcMar>
          </w:tcPr>
          <w:p>
            <w:pPr>
              <w:spacing w:after="40" w:before="20"/>
            </w:pPr>
            <w:r>
              <w:rPr>
                <w:rFonts w:ascii="Calibri" w:hAnsi="Calibri"/>
                <w:b w:val="0"/>
                <w:i w:val="0"/>
                <w:color w:val="222A2E"/>
                <w:sz w:val="19"/>
              </w:rPr>
              <w:t>The Permit Holder submits the PTW request along with JSA, Method Statement, and required attachments (e.g., LOTO Isolation Certificate, Mandatory Lifting Plan, Gas Test Log) to EHS at least 24 hours prior to work execution.</w:t>
            </w:r>
          </w:p>
        </w:tc>
      </w:tr>
      <w:tr>
        <w:tc>
          <w:tcPr>
            <w:tcW w:type="dxa" w:w="2948"/>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STEP 2 — Joint Field Verification &amp; Issuance</w:t>
            </w:r>
          </w:p>
        </w:tc>
        <w:tc>
          <w:tcPr>
            <w:tcW w:type="dxa" w:w="6917"/>
            <w:tcMar>
              <w:top w:w="60" w:type="dxa"/>
              <w:bottom w:w="60" w:type="dxa"/>
              <w:start w:w="110" w:type="dxa"/>
              <w:end w:w="110" w:type="dxa"/>
            </w:tcMar>
            <w:shd w:val="clear" w:color="auto" w:fill="F7FBFB"/>
          </w:tcPr>
          <w:p>
            <w:pPr>
              <w:spacing w:after="40" w:before="20"/>
            </w:pPr>
            <w:r>
              <w:rPr>
                <w:rFonts w:ascii="Calibri" w:hAnsi="Calibri"/>
                <w:b w:val="0"/>
                <w:i w:val="0"/>
                <w:color w:val="222A2E"/>
                <w:sz w:val="19"/>
              </w:rPr>
              <w:t>The Permit Issuer and Permit Holder conduct a physical walk-through of the work site to verify all controls (including zero-energy state verification). Upon satisfaction, both sign the PTW. The original permit is displayed at the work location inside a weatherproof plastic sleeve.</w:t>
            </w:r>
          </w:p>
        </w:tc>
      </w:tr>
      <w:tr>
        <w:tc>
          <w:tcPr>
            <w:tcW w:type="dxa" w:w="2948"/>
            <w:tcMar>
              <w:top w:w="60" w:type="dxa"/>
              <w:bottom w:w="60" w:type="dxa"/>
              <w:start w:w="110" w:type="dxa"/>
              <w:end w:w="110" w:type="dxa"/>
            </w:tcMar>
            <w:shd w:val="clear" w:color="auto" w:fill="DCEFF1"/>
            <w:vAlign w:val="center"/>
          </w:tcPr>
          <w:p>
            <w:pPr>
              <w:spacing w:after="40" w:before="20"/>
            </w:pPr>
            <w:r>
              <w:rPr>
                <w:rFonts w:ascii="Calibri" w:hAnsi="Calibri"/>
                <w:b/>
                <w:i w:val="0"/>
                <w:color w:val="003B4A"/>
                <w:sz w:val="19"/>
              </w:rPr>
              <w:t>STEP 3 — Shift Completion &amp; Closure</w:t>
            </w:r>
          </w:p>
        </w:tc>
        <w:tc>
          <w:tcPr>
            <w:tcW w:type="dxa" w:w="6917"/>
            <w:tcMar>
              <w:top w:w="60" w:type="dxa"/>
              <w:bottom w:w="60" w:type="dxa"/>
              <w:start w:w="110" w:type="dxa"/>
              <w:end w:w="110" w:type="dxa"/>
            </w:tcMar>
          </w:tcPr>
          <w:p>
            <w:pPr>
              <w:spacing w:after="40" w:before="20"/>
            </w:pPr>
            <w:r>
              <w:rPr>
                <w:rFonts w:ascii="Calibri" w:hAnsi="Calibri"/>
                <w:b w:val="0"/>
                <w:i w:val="0"/>
                <w:color w:val="222A2E"/>
                <w:sz w:val="19"/>
              </w:rPr>
              <w:t>At shift end (or task completion), the site is cleaned, tools removed, de-isolation executed if authorized, and the Permit Holder &amp; Issuer sign off the permit closure section. Closed permits are archived at the EHS Office. Daily permits expire at the end of the shift and must be re-issued for subsequent shifts.</w:t>
            </w:r>
          </w:p>
        </w:tc>
      </w:tr>
    </w:tbl>
    <w:p>
      <w:pPr>
        <w:keepNext/>
        <w:spacing w:before="280" w:after="120"/>
        <w:pBdr>
          <w:bottom w:val="single" w:sz="12" w:space="3" w:color="007E8C"/>
        </w:pBdr>
      </w:pPr>
      <w:r>
        <w:rPr>
          <w:rFonts w:ascii="Calibri" w:hAnsi="Calibri"/>
          <w:b/>
          <w:color w:val="003B4A"/>
          <w:sz w:val="25"/>
        </w:rPr>
        <w:t>SECTION 5A: PTW / LOTO INTERFACE &amp; SHIFT HANDOVER</w:t>
      </w:r>
    </w:p>
    <w:p>
      <w:pPr>
        <w:spacing w:after="60"/>
        <w:ind w:left="283" w:hanging="283"/>
      </w:pPr>
      <w:r>
        <w:rPr>
          <w:rFonts w:ascii="Calibri" w:hAnsi="Calibri"/>
          <w:b/>
          <w:color w:val="007E8C"/>
          <w:sz w:val="21"/>
        </w:rPr>
        <w:t xml:space="preserve">▪  </w:t>
      </w:r>
      <w:r>
        <w:rPr>
          <w:rFonts w:ascii="Calibri" w:hAnsi="Calibri"/>
          <w:color w:val="222A2E"/>
          <w:sz w:val="21"/>
        </w:rPr>
        <w:t>PTW validity and LOTO validity are managed separately: expiry or renewal of a permit does not remove or release any LOTO isolation. Isolations remain under Isolation Authority control and are removed only through the controlled de-isolation process (LOTO removal / key register).</w:t>
      </w:r>
    </w:p>
    <w:p>
      <w:pPr>
        <w:spacing w:after="60"/>
        <w:ind w:left="283" w:hanging="283"/>
      </w:pPr>
      <w:r>
        <w:rPr>
          <w:rFonts w:ascii="Calibri" w:hAnsi="Calibri"/>
          <w:b/>
          <w:color w:val="007E8C"/>
          <w:sz w:val="21"/>
        </w:rPr>
        <w:t xml:space="preserve">▪  </w:t>
      </w:r>
      <w:r>
        <w:rPr>
          <w:rFonts w:ascii="Calibri" w:hAnsi="Calibri"/>
          <w:color w:val="222A2E"/>
          <w:sz w:val="21"/>
        </w:rPr>
        <w:t>Shift handover requirements: at each shift change, the incoming Permit Issuer/Supervisor, the Permit Holder, and (for energized or isolated works) the Isolation Authority shall jointly re-verify the permit conditions, the isolation status and the zero-energy state. The handover is recorded on the permit/log, and the daily shift endorsement is signed before work resumes.</w:t>
      </w:r>
    </w:p>
    <w:p>
      <w:pPr>
        <w:keepNext/>
        <w:spacing w:before="280" w:after="120"/>
        <w:pBdr>
          <w:bottom w:val="single" w:sz="12" w:space="3" w:color="007E8C"/>
        </w:pBdr>
      </w:pPr>
      <w:r>
        <w:rPr>
          <w:rFonts w:ascii="Calibri" w:hAnsi="Calibri"/>
          <w:b/>
          <w:color w:val="003B4A"/>
          <w:sz w:val="25"/>
        </w:rPr>
        <w:t>SECTION 6: EMERGENCY SUSPENSION &amp; BREACH PENALTIES</w:t>
      </w:r>
    </w:p>
    <w:p>
      <w:pPr>
        <w:spacing w:after="80"/>
      </w:pPr>
      <w:r>
        <w:rPr>
          <w:rFonts w:ascii="Calibri" w:hAnsi="Calibri"/>
          <w:color w:val="222A2E"/>
          <w:sz w:val="21"/>
        </w:rPr>
        <w:t>MANDATORY PERMIT SUSPENSION TRIGGERS</w:t>
      </w:r>
    </w:p>
    <w:p>
      <w:pPr>
        <w:spacing w:after="60"/>
        <w:ind w:left="283" w:hanging="283"/>
      </w:pPr>
      <w:r>
        <w:rPr>
          <w:rFonts w:ascii="Calibri" w:hAnsi="Calibri"/>
          <w:b/>
          <w:color w:val="007E8C"/>
          <w:sz w:val="21"/>
        </w:rPr>
        <w:t xml:space="preserve">▪  </w:t>
      </w:r>
      <w:r>
        <w:rPr>
          <w:rFonts w:ascii="Calibri" w:hAnsi="Calibri"/>
          <w:color w:val="222A2E"/>
          <w:sz w:val="21"/>
        </w:rPr>
        <w:t>Emergency site alarm activation or gas release incident.</w:t>
      </w:r>
    </w:p>
    <w:p>
      <w:pPr>
        <w:spacing w:after="60"/>
        <w:ind w:left="283" w:hanging="283"/>
      </w:pPr>
      <w:r>
        <w:rPr>
          <w:rFonts w:ascii="Calibri" w:hAnsi="Calibri"/>
          <w:b/>
          <w:color w:val="007E8C"/>
          <w:sz w:val="21"/>
        </w:rPr>
        <w:t xml:space="preserve">▪  </w:t>
      </w:r>
      <w:r>
        <w:rPr>
          <w:rFonts w:ascii="Calibri" w:hAnsi="Calibri"/>
          <w:color w:val="222A2E"/>
          <w:sz w:val="21"/>
        </w:rPr>
        <w:t>Unannounced change in weather conditions (e.g., wind speed &gt; 32 km/h during lifting, heavy rain, dust storm).</w:t>
      </w:r>
    </w:p>
    <w:p>
      <w:pPr>
        <w:spacing w:after="60"/>
        <w:ind w:left="283" w:hanging="283"/>
      </w:pPr>
      <w:r>
        <w:rPr>
          <w:rFonts w:ascii="Calibri" w:hAnsi="Calibri"/>
          <w:b/>
          <w:color w:val="007E8C"/>
          <w:sz w:val="21"/>
        </w:rPr>
        <w:t xml:space="preserve">▪  </w:t>
      </w:r>
      <w:r>
        <w:rPr>
          <w:rFonts w:ascii="Calibri" w:hAnsi="Calibri"/>
          <w:color w:val="222A2E"/>
          <w:sz w:val="21"/>
        </w:rPr>
        <w:t>Violation of permit conditions, missing PPE (e.g., Arc Flash suits or LOTO padlocks), or unapproved scope changes (immediate PTW revocation + Stop Work Notice).</w:t>
      </w:r>
    </w:p>
    <w:p>
      <w:pPr>
        <w:keepNext/>
        <w:spacing w:before="280" w:after="120"/>
        <w:pBdr>
          <w:bottom w:val="single" w:sz="12" w:space="3" w:color="007E8C"/>
        </w:pBdr>
      </w:pPr>
      <w:r>
        <w:rPr>
          <w:rFonts w:ascii="Calibri" w:hAnsi="Calibri"/>
          <w:b/>
          <w:color w:val="003B4A"/>
          <w:sz w:val="25"/>
        </w:rPr>
        <w:t>SECTION 7: SIGN-OFF &amp; APPROVAL MATRIX</w:t>
      </w:r>
    </w:p>
    <w:tbl>
      <w:tblPr>
        <w:tblW w:type="auto" w:w="0"/>
        <w:tblLayout w:type="fixed"/>
        <w:tblLook w:firstColumn="1" w:firstRow="1" w:lastColumn="0" w:lastRow="0" w:noHBand="0" w:noVBand="1" w:val="04A0"/>
        <w:tblLayout w:type="fixed"/>
        <w:tblBorders>
          <w:top w:val="single" w:sz="4" w:space="0" w:color="B7CCCF"/>
          <w:left w:val="single" w:sz="4" w:space="0" w:color="B7CCCF"/>
          <w:bottom w:val="single" w:sz="4" w:space="0" w:color="B7CCCF"/>
          <w:right w:val="single" w:sz="4" w:space="0" w:color="B7CCCF"/>
          <w:insideH w:val="single" w:sz="4" w:space="0" w:color="B7CCCF"/>
          <w:insideV w:val="single" w:sz="4" w:space="0" w:color="B7CCCF"/>
        </w:tblBorders>
      </w:tblPr>
      <w:tblGrid>
        <w:gridCol w:w="3289"/>
        <w:gridCol w:w="3289"/>
        <w:gridCol w:w="3289"/>
      </w:tblGrid>
      <w:tr>
        <w:tc>
          <w:tcPr>
            <w:tcW w:type="dxa" w:w="3288"/>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20"/>
              </w:rPr>
              <w:t>PREPARED BY</w:t>
            </w:r>
          </w:p>
        </w:tc>
        <w:tc>
          <w:tcPr>
            <w:tcW w:type="dxa" w:w="3288"/>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20"/>
              </w:rPr>
              <w:t>REVIEWED BY</w:t>
            </w:r>
          </w:p>
        </w:tc>
        <w:tc>
          <w:tcPr>
            <w:tcW w:type="dxa" w:w="3288"/>
            <w:shd w:val="clear" w:color="auto" w:fill="007E8C"/>
            <w:tcMar>
              <w:top w:w="60" w:type="dxa"/>
              <w:bottom w:w="60" w:type="dxa"/>
              <w:start w:w="110" w:type="dxa"/>
              <w:end w:w="110" w:type="dxa"/>
            </w:tcMar>
            <w:vAlign w:val="center"/>
          </w:tcPr>
          <w:p>
            <w:pPr>
              <w:spacing w:after="40" w:before="20"/>
              <w:jc w:val="center"/>
            </w:pPr>
            <w:r>
              <w:rPr>
                <w:rFonts w:ascii="Calibri" w:hAnsi="Calibri"/>
                <w:b/>
                <w:i w:val="0"/>
                <w:color w:val="FFFFFF"/>
                <w:sz w:val="20"/>
              </w:rPr>
              <w:t>APPROVED BY</w:t>
            </w:r>
          </w:p>
        </w:tc>
      </w:tr>
      <w:tr>
        <w:tc>
          <w:tcPr>
            <w:tcW w:type="dxa" w:w="3288"/>
            <w:tcMar>
              <w:top w:w="60" w:type="dxa"/>
              <w:bottom w:w="60" w:type="dxa"/>
              <w:start w:w="110" w:type="dxa"/>
              <w:end w:w="110" w:type="dxa"/>
            </w:tcMar>
            <w:vAlign w:val="center"/>
          </w:tcPr>
          <w:p>
            <w:pPr>
              <w:spacing w:after="40" w:before="20"/>
            </w:pPr>
            <w:r>
              <w:rPr>
                <w:rFonts w:ascii="Calibri" w:hAnsi="Calibri"/>
                <w:b w:val="0"/>
                <w:i w:val="0"/>
                <w:color w:val="222A2E"/>
                <w:sz w:val="19"/>
              </w:rPr>
              <w:t>Name: Ahmed Mansoor Hashim Kazem</w:t>
            </w:r>
          </w:p>
          <w:p>
            <w:pPr>
              <w:spacing w:after="40" w:before="0"/>
            </w:pPr>
            <w:r>
              <w:rPr>
                <w:rFonts w:ascii="Calibri" w:hAnsi="Calibri"/>
                <w:b/>
                <w:i w:val="0"/>
                <w:color w:val="222A2E"/>
                <w:sz w:val="19"/>
              </w:rPr>
              <w:t>Role: EHS Manager (Siemens Energy)</w:t>
            </w:r>
          </w:p>
          <w:p>
            <w:pPr>
              <w:spacing w:after="40" w:before="0"/>
            </w:pPr>
            <w:r>
              <w:rPr>
                <w:rFonts w:ascii="Calibri" w:hAnsi="Calibri"/>
                <w:b/>
                <w:i w:val="0"/>
                <w:color w:val="222A2E"/>
                <w:sz w:val="19"/>
              </w:rPr>
              <w:t>Status: Prepared</w:t>
            </w:r>
          </w:p>
          <w:p>
            <w:pPr>
              <w:spacing w:after="40" w:before="0"/>
            </w:pPr>
            <w:r>
              <w:rPr>
                <w:rFonts w:ascii="Calibri" w:hAnsi="Calibri"/>
                <w:b w:val="0"/>
                <w:i w:val="0"/>
                <w:color w:val="222A2E"/>
                <w:sz w:val="19"/>
              </w:rPr>
              <w:t>Date: 06 / 09 / 2026</w:t>
            </w:r>
          </w:p>
        </w:tc>
        <w:tc>
          <w:tcPr>
            <w:tcW w:type="dxa" w:w="3288"/>
            <w:tcMar>
              <w:top w:w="60" w:type="dxa"/>
              <w:bottom w:w="60" w:type="dxa"/>
              <w:start w:w="110" w:type="dxa"/>
              <w:end w:w="110" w:type="dxa"/>
            </w:tcMar>
            <w:vAlign w:val="center"/>
          </w:tcPr>
          <w:p>
            <w:pPr>
              <w:spacing w:after="40" w:before="20"/>
            </w:pPr>
            <w:r>
              <w:rPr>
                <w:rFonts w:ascii="Calibri" w:hAnsi="Calibri"/>
                <w:b w:val="0"/>
                <w:i w:val="0"/>
                <w:color w:val="222A2E"/>
                <w:sz w:val="19"/>
              </w:rPr>
              <w:t>Name: Dogukan Arandi</w:t>
            </w:r>
          </w:p>
          <w:p>
            <w:pPr>
              <w:spacing w:after="40" w:before="0"/>
            </w:pPr>
            <w:r>
              <w:rPr>
                <w:rFonts w:ascii="Calibri" w:hAnsi="Calibri"/>
                <w:b/>
                <w:i w:val="0"/>
                <w:color w:val="222A2E"/>
                <w:sz w:val="19"/>
              </w:rPr>
              <w:t>Role: EHS / Site EHS Lead (Reviewer)</w:t>
            </w:r>
          </w:p>
          <w:p>
            <w:pPr>
              <w:spacing w:after="40" w:before="0"/>
            </w:pPr>
            <w:r>
              <w:rPr>
                <w:rFonts w:ascii="Calibri" w:hAnsi="Calibri"/>
                <w:b/>
                <w:i w:val="0"/>
                <w:color w:val="222A2E"/>
                <w:sz w:val="19"/>
              </w:rPr>
              <w:t>Company: Siemens Energy</w:t>
            </w:r>
          </w:p>
          <w:p>
            <w:pPr>
              <w:spacing w:after="40" w:before="0"/>
            </w:pPr>
            <w:r>
              <w:rPr>
                <w:rFonts w:ascii="Calibri" w:hAnsi="Calibri"/>
                <w:b/>
                <w:i w:val="0"/>
                <w:color w:val="222A2E"/>
                <w:sz w:val="19"/>
              </w:rPr>
              <w:t>Status: Under Review</w:t>
            </w:r>
          </w:p>
          <w:p>
            <w:pPr>
              <w:spacing w:after="40" w:before="0"/>
            </w:pPr>
            <w:r>
              <w:rPr>
                <w:rFonts w:ascii="Calibri" w:hAnsi="Calibri"/>
                <w:b w:val="0"/>
                <w:i w:val="0"/>
                <w:color w:val="222A2E"/>
                <w:sz w:val="19"/>
              </w:rPr>
              <w:t>Date: ___ / ___ / 2026</w:t>
            </w:r>
          </w:p>
        </w:tc>
        <w:tc>
          <w:tcPr>
            <w:tcW w:type="dxa" w:w="3288"/>
            <w:tcMar>
              <w:top w:w="60" w:type="dxa"/>
              <w:bottom w:w="60" w:type="dxa"/>
              <w:start w:w="110" w:type="dxa"/>
              <w:end w:w="110" w:type="dxa"/>
            </w:tcMar>
            <w:vAlign w:val="center"/>
          </w:tcPr>
          <w:p>
            <w:pPr>
              <w:spacing w:after="40" w:before="20"/>
            </w:pPr>
            <w:r>
              <w:rPr>
                <w:rFonts w:ascii="Calibri" w:hAnsi="Calibri"/>
                <w:b w:val="0"/>
                <w:i w:val="0"/>
                <w:color w:val="222A2E"/>
                <w:sz w:val="19"/>
              </w:rPr>
              <w:t>Name: Onur Ozvatan</w:t>
            </w:r>
          </w:p>
          <w:p>
            <w:pPr>
              <w:spacing w:after="40" w:before="0"/>
            </w:pPr>
            <w:r>
              <w:rPr>
                <w:rFonts w:ascii="Calibri" w:hAnsi="Calibri"/>
                <w:b/>
                <w:i w:val="0"/>
                <w:color w:val="222A2E"/>
                <w:sz w:val="19"/>
              </w:rPr>
              <w:t>Role: Project Manager</w:t>
            </w:r>
          </w:p>
          <w:p>
            <w:pPr>
              <w:spacing w:after="40" w:before="0"/>
            </w:pPr>
            <w:r>
              <w:rPr>
                <w:rFonts w:ascii="Calibri" w:hAnsi="Calibri"/>
                <w:b/>
                <w:i w:val="0"/>
                <w:color w:val="222A2E"/>
                <w:sz w:val="19"/>
              </w:rPr>
              <w:t>Company: Siemens Energy</w:t>
            </w:r>
          </w:p>
          <w:p>
            <w:pPr>
              <w:spacing w:after="40" w:before="0"/>
            </w:pPr>
            <w:r>
              <w:rPr>
                <w:rFonts w:ascii="Calibri" w:hAnsi="Calibri"/>
                <w:b/>
                <w:i w:val="0"/>
                <w:color w:val="222A2E"/>
                <w:sz w:val="19"/>
              </w:rPr>
              <w:t>Status: For Approval (Pending Final Review)</w:t>
            </w:r>
          </w:p>
          <w:p>
            <w:pPr>
              <w:spacing w:after="40" w:before="0"/>
            </w:pPr>
            <w:r>
              <w:rPr>
                <w:rFonts w:ascii="Calibri" w:hAnsi="Calibri"/>
                <w:b w:val="0"/>
                <w:i w:val="0"/>
                <w:color w:val="222A2E"/>
                <w:sz w:val="19"/>
              </w:rPr>
              <w:t>Date: ___ / ___ / 2026</w:t>
            </w:r>
          </w:p>
        </w:tc>
      </w:tr>
    </w:tbl>
    <w:p>
      <w:pPr>
        <w:keepNext/>
        <w:spacing w:before="280" w:after="120"/>
        <w:pBdr>
          <w:bottom w:val="single" w:sz="12" w:space="3" w:color="007E8C"/>
        </w:pBdr>
      </w:pPr>
      <w:r>
        <w:rPr>
          <w:rFonts w:ascii="Calibri" w:hAnsi="Calibri"/>
          <w:b/>
          <w:color w:val="003B4A"/>
          <w:sz w:val="25"/>
        </w:rPr>
        <w:t>SECTION 8: REFERENCES &amp; TECHNICAL LIMIT SOURCES</w:t>
      </w:r>
    </w:p>
    <w:p>
      <w:pPr>
        <w:spacing w:after="80"/>
      </w:pPr>
      <w:r>
        <w:rPr>
          <w:rFonts w:ascii="Calibri" w:hAnsi="Calibri"/>
          <w:color w:val="222A2E"/>
          <w:sz w:val="21"/>
        </w:rPr>
        <w:t>The following references govern the technical limits used in this procedure:</w:t>
      </w:r>
    </w:p>
    <w:p>
      <w:pPr>
        <w:spacing w:after="60"/>
        <w:ind w:left="283" w:hanging="283"/>
      </w:pPr>
      <w:r>
        <w:rPr>
          <w:rFonts w:ascii="Calibri" w:hAnsi="Calibri"/>
          <w:b/>
          <w:color w:val="007E8C"/>
          <w:sz w:val="21"/>
        </w:rPr>
        <w:t xml:space="preserve">▪  </w:t>
      </w:r>
      <w:r>
        <w:rPr>
          <w:rFonts w:ascii="Calibri" w:hAnsi="Calibri"/>
          <w:color w:val="222A2E"/>
          <w:sz w:val="21"/>
        </w:rPr>
        <w:t>Iraqi Labour Law No. 37 of 2015 — occupational safety requirements applicable in Iraq.</w:t>
      </w:r>
    </w:p>
    <w:p>
      <w:pPr>
        <w:spacing w:after="60"/>
        <w:ind w:left="283" w:hanging="283"/>
      </w:pPr>
      <w:r>
        <w:rPr>
          <w:rFonts w:ascii="Calibri" w:hAnsi="Calibri"/>
          <w:b/>
          <w:color w:val="007E8C"/>
          <w:sz w:val="21"/>
        </w:rPr>
        <w:t xml:space="preserve">▪  </w:t>
      </w:r>
      <w:r>
        <w:rPr>
          <w:rFonts w:ascii="Calibri" w:hAnsi="Calibri"/>
          <w:color w:val="222A2E"/>
          <w:sz w:val="21"/>
        </w:rPr>
        <w:t>OSHA 29 CFR 1926 Subpart M — fall protection (work-at-height threshold ≥ 1.8 m).</w:t>
      </w:r>
    </w:p>
    <w:p>
      <w:pPr>
        <w:spacing w:after="60"/>
        <w:ind w:left="283" w:hanging="283"/>
      </w:pPr>
      <w:r>
        <w:rPr>
          <w:rFonts w:ascii="Calibri" w:hAnsi="Calibri"/>
          <w:b/>
          <w:color w:val="007E8C"/>
          <w:sz w:val="21"/>
        </w:rPr>
        <w:t xml:space="preserve">▪  </w:t>
      </w:r>
      <w:r>
        <w:rPr>
          <w:rFonts w:ascii="Calibri" w:hAnsi="Calibri"/>
          <w:color w:val="222A2E"/>
          <w:sz w:val="21"/>
        </w:rPr>
        <w:t>OSHA 29 CFR 1926 Subpart P — excavations &amp; trenching (protective systems for excavations &gt; 1.2 m; spoil setback).</w:t>
      </w:r>
    </w:p>
    <w:p>
      <w:pPr>
        <w:spacing w:after="60"/>
        <w:ind w:left="283" w:hanging="283"/>
      </w:pPr>
      <w:r>
        <w:rPr>
          <w:rFonts w:ascii="Calibri" w:hAnsi="Calibri"/>
          <w:b/>
          <w:color w:val="007E8C"/>
          <w:sz w:val="21"/>
        </w:rPr>
        <w:t xml:space="preserve">▪  </w:t>
      </w:r>
      <w:r>
        <w:rPr>
          <w:rFonts w:ascii="Calibri" w:hAnsi="Calibri"/>
          <w:color w:val="222A2E"/>
          <w:sz w:val="21"/>
        </w:rPr>
        <w:t>OSHA 29 CFR 1910 / 1926 — general industry &amp; construction safety (hot work, LOTO, confined space).</w:t>
      </w:r>
    </w:p>
    <w:p>
      <w:pPr>
        <w:spacing w:after="60"/>
        <w:ind w:left="283" w:hanging="283"/>
      </w:pPr>
      <w:r>
        <w:rPr>
          <w:rFonts w:ascii="Calibri" w:hAnsi="Calibri"/>
          <w:b/>
          <w:color w:val="007E8C"/>
          <w:sz w:val="21"/>
        </w:rPr>
        <w:t xml:space="preserve">▪  </w:t>
      </w:r>
      <w:r>
        <w:rPr>
          <w:rFonts w:ascii="Calibri" w:hAnsi="Calibri"/>
          <w:color w:val="222A2E"/>
          <w:sz w:val="21"/>
        </w:rPr>
        <w:t>NFPA 70E — electrical safety in the workplace (energized work, Arc Flash boundaries and PPE categories).</w:t>
      </w:r>
    </w:p>
    <w:p>
      <w:pPr>
        <w:spacing w:after="60"/>
        <w:ind w:left="283" w:hanging="283"/>
      </w:pPr>
      <w:r>
        <w:rPr>
          <w:rFonts w:ascii="Calibri" w:hAnsi="Calibri"/>
          <w:b/>
          <w:color w:val="007E8C"/>
          <w:sz w:val="21"/>
        </w:rPr>
        <w:t xml:space="preserve">▪  </w:t>
      </w:r>
      <w:r>
        <w:rPr>
          <w:rFonts w:ascii="Calibri" w:hAnsi="Calibri"/>
          <w:color w:val="222A2E"/>
          <w:sz w:val="21"/>
        </w:rPr>
        <w:t>Crane manufacturer requirements and OSHA 29 CFR 1926.1400 — lifting operations and wind limits (no lifts in winds &gt; 32 km/h).</w:t>
      </w:r>
    </w:p>
    <w:p>
      <w:pPr>
        <w:spacing w:after="60"/>
        <w:ind w:left="283" w:hanging="283"/>
      </w:pPr>
      <w:r>
        <w:rPr>
          <w:rFonts w:ascii="Calibri" w:hAnsi="Calibri"/>
          <w:b/>
          <w:color w:val="007E8C"/>
          <w:sz w:val="21"/>
        </w:rPr>
        <w:t xml:space="preserve">▪  </w:t>
      </w:r>
      <w:r>
        <w:rPr>
          <w:rFonts w:ascii="Calibri" w:hAnsi="Calibri"/>
          <w:color w:val="222A2E"/>
          <w:sz w:val="21"/>
        </w:rPr>
        <w:t>Siemens Energy Global PTW Standard Framework and client (MOE/BGC) site EHS requirements.</w:t>
      </w:r>
    </w:p>
    <w:p>
      <w:pPr>
        <w:spacing w:after="60"/>
        <w:ind w:left="283" w:hanging="283"/>
      </w:pPr>
      <w:r>
        <w:rPr>
          <w:rFonts w:ascii="Calibri" w:hAnsi="Calibri"/>
          <w:b/>
          <w:color w:val="007E8C"/>
          <w:sz w:val="21"/>
        </w:rPr>
        <w:t xml:space="preserve">▪  </w:t>
      </w:r>
      <w:r>
        <w:rPr>
          <w:rFonts w:ascii="Calibri" w:hAnsi="Calibri"/>
          <w:color w:val="222A2E"/>
          <w:sz w:val="21"/>
        </w:rPr>
        <w:t>Where numerical limits (e.g., wind speed 32 km/h, work at height ≥ 1.8 m, excavation depths 30 cm / 1.2 m) differ between standards or client requirements, the more stringent requirement shall apply.</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469"/>
        <w:sz w:val="16"/>
      </w:rPr>
      <w:t xml:space="preserve">KAZ-EHS-SOP-2026-003  •  Rev. 1  •  Siemens Energy – KAZ Power Plant Upgrade  •  Page </w:t>
    </w:r>
    <w:r>
      <w:rPr>
        <w:rFonts w:ascii="Calibri" w:hAnsi="Calibri"/>
        <w:color w:val="5A646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22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Permit to Work (PTW) System – Standard Operating Procedure</dc:title>
  <dc:subject>KAZ Power Plant Upgrade Project – Basra, Iraq</dc:subject>
  <dc:creator>Ahmed Mansoor Hashim Kazem (EHS Manager)</dc:creator>
  <cp:keywords>PTW, Permit to Work, EHS, LOTO, KAZ, Siemens Energy</cp:keywords>
  <dc:description>generated by python-docx</dc:description>
  <cp:lastModifiedBy/>
  <cp:revision>1</cp:revision>
  <dcterms:created xsi:type="dcterms:W3CDTF">2013-12-23T23:15:00Z</dcterms:created>
  <dcterms:modified xsi:type="dcterms:W3CDTF">2013-12-23T23:15:00Z</dcterms:modified>
  <cp:category/>
</cp:coreProperties>
</file>