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dxa" w:w="16838"/>
            <w:tcBorders>
              <w:top w:val="none" w:color="FFFFFF" w:sz="0"/>
              <w:left w:val="none" w:color="FFFFFF" w:sz="0"/>
              <w:bottom w:val="none" w:color="FFFFFF" w:sz="0"/>
              <w:right w:val="none" w:color="FFFFFF" w:sz="0"/>
            </w:tcBorders>
            <w:shd w:fill="162235" w:val="clear"/>
            <w:tcMar>
              <w:top w:type="dxa" w:w="2400"/>
              <w:left w:type="dxa" w:w="1200"/>
              <w:bottom w:type="dxa" w:w="800"/>
              <w:right w:type="dxa" w:w="1200"/>
            </w:tcMar>
            <w:vAlign w:val="top"/>
          </w:tcPr>
          <w:p>
            <w:pPr>
              <w:spacing w:after="200" w:before="2400"/>
            </w:pPr>
            <w:r>
              <w:rPr>
                <w:rFonts w:ascii="Calibri"/>
                <w:b/>
                <w:bCs/>
                <w:color w:val="37DCF2"/>
                <w:sz w:val="24"/>
                <w:szCs w:val="24"/>
              </w:rPr>
              <w:t xml:space="preserve">LIVECHAT.COM</w:t>
            </w:r>
          </w:p>
          <w:p>
            <w:pPr>
              <w:spacing w:after="200" w:before="400"/>
            </w:pPr>
            <w:r>
              <w:rPr>
                <w:rFonts w:ascii="Calibri"/>
                <w:b/>
                <w:bCs/>
                <w:color w:val="FFFFFF"/>
                <w:sz w:val="56"/>
                <w:szCs w:val="56"/>
              </w:rPr>
              <w:t xml:space="preserve">Complete Feature</w:t>
            </w:r>
          </w:p>
          <w:p>
            <w:pPr>
              <w:spacing w:after="200" w:before="0"/>
            </w:pPr>
            <w:r>
              <w:rPr>
                <w:rFonts w:ascii="Calibri"/>
                <w:b/>
                <w:bCs/>
                <w:color w:val="FFFFFF"/>
                <w:sz w:val="56"/>
                <w:szCs w:val="56"/>
              </w:rPr>
              <w:t xml:space="preserve">Documentation</w:t>
            </w:r>
          </w:p>
          <w:p>
            <w:pPr>
              <w:spacing w:after="100" w:before="600"/>
            </w:pPr>
            <w:r>
              <w:rPr>
                <w:rFonts w:ascii="Calibri"/>
                <w:color w:val="90989F"/>
                <w:sz w:val="24"/>
                <w:szCs w:val="24"/>
              </w:rPr>
              <w:t xml:space="preserve">Comprehensive reference for cloning all features of the LiveChat platform</w:t>
            </w:r>
          </w:p>
          <w:p>
            <w:pPr>
              <w:spacing w:before="1800"/>
            </w:pPr>
            <w:r>
              <w:rPr>
                <w:rFonts w:ascii="Calibri"/>
                <w:color w:val="687078"/>
                <w:sz w:val="20"/>
                <w:szCs w:val="20"/>
              </w:rPr>
              <w:t xml:space="preserve">Product Suite: LiveChat | ChatBot | HelpDesk | KnowledgeBase | Text AI</w:t>
            </w:r>
          </w:p>
          <w:p>
            <w:pPr>
              <w:spacing w:before="200"/>
            </w:pPr>
            <w:r>
              <w:rPr>
                <w:rFonts w:ascii="Calibri"/>
                <w:color w:val="687078"/>
                <w:sz w:val="20"/>
                <w:szCs w:val="20"/>
              </w:rPr>
              <w:t xml:space="preserve">Prepared for: Clone Development Reference</w:t>
            </w:r>
          </w:p>
          <w:p>
            <w:pPr>
              <w:spacing w:before="200"/>
            </w:pPr>
            <w:r>
              <w:rPr>
                <w:rFonts w:ascii="Calibri"/>
                <w:color w:val="687078"/>
                <w:sz w:val="20"/>
                <w:szCs w:val="20"/>
              </w:rPr>
              <w:t xml:space="preserve">Date: May 2026</w:t>
            </w:r>
          </w:p>
        </w:tc>
      </w:tr>
    </w:tbl>
    <w:p>
      <w:pPr>
        <w:sectPr>
          <w:pgSz w:w="11906" w:h="16838" w:orient="portrait"/>
          <w:pgMar w:top="0" w:right="0" w:bottom="0" w:left="0" w:header="708" w:footer="708" w:gutter="0"/>
          <w:pgNumType/>
          <w:docGrid w:linePitch="360"/>
        </w:sectPr>
      </w:pPr>
    </w:p>
    <w:p>
      <w:pPr>
        <w:spacing w:after="300"/>
      </w:pPr>
      <w:r>
        <w:rPr>
          <w:rFonts w:ascii="Calibri"/>
          <w:b/>
          <w:bCs/>
          <w:color w:val="0A1628"/>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Product Overview</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Text Platform Products</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2.1.1 LiveChat (Core Product)</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2.1.2 ChatBot</w:t>
            </w:r>
            <w:r>
              <w:tab/>
            </w:r>
            <w:r>
              <w:fldChar w:fldCharType="begin"/>
            </w:r>
            <w:r>
              <w:instrText xml:space="preserve"> PAGEREF _Toc100004 \h </w:instrText>
            </w:r>
            <w:r>
              <w:fldChar w:fldCharType="separate"/>
            </w:r>
            <w:r>
              <w:t>2</w:t>
            </w:r>
            <w:r>
              <w:fldChar w:fldCharType="end"/>
            </w:r>
          </w:hyperlink>
        </w:p>
        <w:p>
          <w:pPr>
            <w:pStyle w:val="12"/>
            <w:ind w:left="720"/>
            <w:tabs>
              <w:tab w:val="right" w:leader="dot" w:pos="9026"/>
            </w:tabs>
            <w:spacing w:before="120" w:after="60"/>
          </w:pPr>
          <w:hyperlink w:anchor="_Toc100005" w:history="1">
            <w:r>
              <w:rPr>
                <w:rStyle w:val="Hyperlink"/>
              </w:rPr>
              <w:t>2.1.3 HelpDesk</w:t>
            </w:r>
            <w:r>
              <w:tab/>
            </w:r>
            <w:r>
              <w:fldChar w:fldCharType="begin"/>
            </w:r>
            <w:r>
              <w:instrText xml:space="preserve"> PAGEREF _Toc100005 \h </w:instrText>
            </w:r>
            <w:r>
              <w:fldChar w:fldCharType="separate"/>
            </w:r>
            <w:r>
              <w:t>2</w:t>
            </w:r>
            <w:r>
              <w:fldChar w:fldCharType="end"/>
            </w:r>
          </w:hyperlink>
        </w:p>
        <w:p>
          <w:pPr>
            <w:pStyle w:val="12"/>
            <w:ind w:left="720"/>
            <w:tabs>
              <w:tab w:val="right" w:leader="dot" w:pos="9026"/>
            </w:tabs>
            <w:spacing w:before="120" w:after="60"/>
          </w:pPr>
          <w:hyperlink w:anchor="_Toc100006" w:history="1">
            <w:r>
              <w:rPr>
                <w:rStyle w:val="Hyperlink"/>
              </w:rPr>
              <w:t>2.1.4 KnowledgeBase</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2.1.5 Text (AI Platform)</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2.1.6 AgentTrainer</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2.2 Pricing Tiers</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2.3 Supported Platforms</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3. Chat Tools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3.1 Message Sneak Peek</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3.2 Canned Responses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3.3 Chat Tags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3.4 Rich Messages</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3.5 File Sharing</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3.6 Chat Archives</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3.7 Inactivity Messages</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3.8 Notifications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3.9 Chat Transfer</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3.10 Chat Ratings</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3.11 Asynchronous Communication</w:t>
            </w:r>
            <w:r>
              <w:tab/>
            </w:r>
            <w:r>
              <w:fldChar w:fldCharType="begin"/>
            </w:r>
            <w:r>
              <w:instrText xml:space="preserve"> PAGEREF _Toc100022 \h </w:instrText>
            </w:r>
            <w:r>
              <w:fldChar w:fldCharType="separate"/>
            </w:r>
            <w:r>
              <w:t>7</w:t>
            </w:r>
            <w:r>
              <w:fldChar w:fldCharType="end"/>
            </w:r>
          </w:hyperlink>
        </w:p>
        <w:p>
          <w:pPr>
            <w:pStyle w:val="9"/>
            <w:tabs>
              <w:tab w:val="right" w:leader="dot" w:pos="9026"/>
            </w:tabs>
            <w:spacing w:before="120" w:after="60"/>
          </w:pPr>
          <w:hyperlink w:anchor="_Toc100023" w:history="1">
            <w:r>
              <w:rPr>
                <w:rStyle w:val="Hyperlink"/>
              </w:rPr>
              <w:t>4. Messaging Channels</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4.1 Chat Widget</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4.2 Facebook Messenger</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4.3 Instagram for Business</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4.4 SMS</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4.5 Email Integration</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4.6 WhatsApp Business</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4.7 Apple Messages for Business</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4.8 Chat Page</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4.9 In-Chat Voice, Video, and Screen Sharing</w:t>
            </w:r>
            <w:r>
              <w:tab/>
            </w:r>
            <w:r>
              <w:fldChar w:fldCharType="begin"/>
            </w:r>
            <w:r>
              <w:instrText xml:space="preserve"> PAGEREF _Toc100032 \h </w:instrText>
            </w:r>
            <w:r>
              <w:fldChar w:fldCharType="separate"/>
            </w:r>
            <w:r>
              <w:t>10</w:t>
            </w:r>
            <w:r>
              <w:fldChar w:fldCharType="end"/>
            </w:r>
          </w:hyperlink>
        </w:p>
        <w:p>
          <w:pPr>
            <w:pStyle w:val="9"/>
            <w:tabs>
              <w:tab w:val="right" w:leader="dot" w:pos="9026"/>
            </w:tabs>
            <w:spacing w:before="120" w:after="60"/>
          </w:pPr>
          <w:hyperlink w:anchor="_Toc100033" w:history="1">
            <w:r>
              <w:rPr>
                <w:rStyle w:val="Hyperlink"/>
              </w:rPr>
              <w:t>5. AI Features</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5.1 AI Copilot</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5.2 Text Enhancement</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5.3 Tag Suggestions</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5.4 Chat Summary</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5.5 Weekly AI Insights</w:t>
            </w:r>
            <w:r>
              <w:tab/>
            </w:r>
            <w:r>
              <w:fldChar w:fldCharType="begin"/>
            </w:r>
            <w:r>
              <w:instrText xml:space="preserve"> PAGEREF _Toc100038 \h </w:instrText>
            </w:r>
            <w:r>
              <w:fldChar w:fldCharType="separate"/>
            </w:r>
            <w:r>
              <w:t>11</w:t>
            </w:r>
            <w:r>
              <w:fldChar w:fldCharType="end"/>
            </w:r>
          </w:hyperlink>
        </w:p>
        <w:p>
          <w:pPr>
            <w:pStyle w:val="11"/>
            <w:ind w:left="360"/>
            <w:tabs>
              <w:tab w:val="right" w:leader="dot" w:pos="9026"/>
            </w:tabs>
            <w:spacing w:before="120" w:after="60"/>
          </w:pPr>
          <w:hyperlink w:anchor="_Toc100039" w:history="1">
            <w:r>
              <w:rPr>
                <w:rStyle w:val="Hyperlink"/>
              </w:rPr>
              <w:t>5.6 ChatBot AI Integration</w:t>
            </w:r>
            <w:r>
              <w:tab/>
            </w:r>
            <w:r>
              <w:fldChar w:fldCharType="begin"/>
            </w:r>
            <w:r>
              <w:instrText xml:space="preserve"> PAGEREF _Toc100039 \h </w:instrText>
            </w:r>
            <w:r>
              <w:fldChar w:fldCharType="separate"/>
            </w:r>
            <w:r>
              <w:t>12</w:t>
            </w:r>
            <w:r>
              <w:fldChar w:fldCharType="end"/>
            </w:r>
          </w:hyperlink>
        </w:p>
        <w:p>
          <w:pPr>
            <w:pStyle w:val="9"/>
            <w:tabs>
              <w:tab w:val="right" w:leader="dot" w:pos="9026"/>
            </w:tabs>
            <w:spacing w:before="120" w:after="60"/>
          </w:pPr>
          <w:hyperlink w:anchor="_Toc100040" w:history="1">
            <w:r>
              <w:rPr>
                <w:rStyle w:val="Hyperlink"/>
              </w:rPr>
              <w:t>6. Customization</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6.1 Chat Widget Customization</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6.2 Agent Profiles</w:t>
            </w:r>
            <w:r>
              <w:tab/>
            </w:r>
            <w:r>
              <w:fldChar w:fldCharType="begin"/>
            </w:r>
            <w:r>
              <w:instrText xml:space="preserve"> PAGEREF _Toc100042 \h </w:instrText>
            </w:r>
            <w:r>
              <w:fldChar w:fldCharType="separate"/>
            </w:r>
            <w:r>
              <w:t>12</w:t>
            </w:r>
            <w:r>
              <w:fldChar w:fldCharType="end"/>
            </w:r>
          </w:hyperlink>
        </w:p>
        <w:p>
          <w:pPr>
            <w:pStyle w:val="11"/>
            <w:ind w:left="360"/>
            <w:tabs>
              <w:tab w:val="right" w:leader="dot" w:pos="9026"/>
            </w:tabs>
            <w:spacing w:before="120" w:after="60"/>
          </w:pPr>
          <w:hyperlink w:anchor="_Toc100043" w:history="1">
            <w:r>
              <w:rPr>
                <w:rStyle w:val="Hyperlink"/>
              </w:rPr>
              <w:t>6.3 Accessibility</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6.4 Multilingual Support (45+ Languages)</w:t>
            </w:r>
            <w:r>
              <w:tab/>
            </w:r>
            <w:r>
              <w:fldChar w:fldCharType="begin"/>
            </w:r>
            <w:r>
              <w:instrText xml:space="preserve"> PAGEREF _Toc100044 \h </w:instrText>
            </w:r>
            <w:r>
              <w:fldChar w:fldCharType="separate"/>
            </w:r>
            <w:r>
              <w:t>13</w:t>
            </w:r>
            <w:r>
              <w:fldChar w:fldCharType="end"/>
            </w:r>
          </w:hyperlink>
        </w:p>
        <w:p>
          <w:pPr>
            <w:pStyle w:val="11"/>
            <w:ind w:left="360"/>
            <w:tabs>
              <w:tab w:val="right" w:leader="dot" w:pos="9026"/>
            </w:tabs>
            <w:spacing w:before="120" w:after="60"/>
          </w:pPr>
          <w:hyperlink w:anchor="_Toc100045" w:history="1">
            <w:r>
              <w:rPr>
                <w:rStyle w:val="Hyperlink"/>
              </w:rPr>
              <w:t>6.5 Chat Boosters</w:t>
            </w:r>
            <w:r>
              <w:tab/>
            </w:r>
            <w:r>
              <w:fldChar w:fldCharType="begin"/>
            </w:r>
            <w:r>
              <w:instrText xml:space="preserve"> PAGEREF _Toc100045 \h </w:instrText>
            </w:r>
            <w:r>
              <w:fldChar w:fldCharType="separate"/>
            </w:r>
            <w:r>
              <w:t>13</w:t>
            </w:r>
            <w:r>
              <w:fldChar w:fldCharType="end"/>
            </w:r>
          </w:hyperlink>
        </w:p>
        <w:p>
          <w:pPr>
            <w:pStyle w:val="9"/>
            <w:tabs>
              <w:tab w:val="right" w:leader="dot" w:pos="9026"/>
            </w:tabs>
            <w:spacing w:before="120" w:after="60"/>
          </w:pPr>
          <w:hyperlink w:anchor="_Toc100046" w:history="1">
            <w:r>
              <w:rPr>
                <w:rStyle w:val="Hyperlink"/>
              </w:rPr>
              <w:t>7. Customer Engagement</w:t>
            </w:r>
            <w:r>
              <w:tab/>
            </w:r>
            <w:r>
              <w:fldChar w:fldCharType="begin"/>
            </w:r>
            <w:r>
              <w:instrText xml:space="preserve"> PAGEREF _Toc100046 \h </w:instrText>
            </w:r>
            <w:r>
              <w:fldChar w:fldCharType="separate"/>
            </w:r>
            <w:r>
              <w:t>13</w:t>
            </w:r>
            <w:r>
              <w:fldChar w:fldCharType="end"/>
            </w:r>
          </w:hyperlink>
        </w:p>
        <w:p>
          <w:pPr>
            <w:pStyle w:val="11"/>
            <w:ind w:left="360"/>
            <w:tabs>
              <w:tab w:val="right" w:leader="dot" w:pos="9026"/>
            </w:tabs>
            <w:spacing w:before="120" w:after="60"/>
          </w:pPr>
          <w:hyperlink w:anchor="_Toc100047" w:history="1">
            <w:r>
              <w:rPr>
                <w:rStyle w:val="Hyperlink"/>
              </w:rPr>
              <w:t>7.1 Targeted Messages</w:t>
            </w:r>
            <w:r>
              <w:tab/>
            </w:r>
            <w:r>
              <w:fldChar w:fldCharType="begin"/>
            </w:r>
            <w:r>
              <w:instrText xml:space="preserve"> PAGEREF _Toc100047 \h </w:instrText>
            </w:r>
            <w:r>
              <w:fldChar w:fldCharType="separate"/>
            </w:r>
            <w:r>
              <w:t>14</w:t>
            </w:r>
            <w:r>
              <w:fldChar w:fldCharType="end"/>
            </w:r>
          </w:hyperlink>
        </w:p>
        <w:p>
          <w:pPr>
            <w:pStyle w:val="11"/>
            <w:ind w:left="360"/>
            <w:tabs>
              <w:tab w:val="right" w:leader="dot" w:pos="9026"/>
            </w:tabs>
            <w:spacing w:before="120" w:after="60"/>
          </w:pPr>
          <w:hyperlink w:anchor="_Toc100048" w:history="1">
            <w:r>
              <w:rPr>
                <w:rStyle w:val="Hyperlink"/>
              </w:rPr>
              <w:t>7.2 Eye-Catchers</w:t>
            </w:r>
            <w:r>
              <w:tab/>
            </w:r>
            <w:r>
              <w:fldChar w:fldCharType="begin"/>
            </w:r>
            <w:r>
              <w:instrText xml:space="preserve"> PAGEREF _Toc100048 \h </w:instrText>
            </w:r>
            <w:r>
              <w:fldChar w:fldCharType="separate"/>
            </w:r>
            <w:r>
              <w:t>14</w:t>
            </w:r>
            <w:r>
              <w:fldChar w:fldCharType="end"/>
            </w:r>
          </w:hyperlink>
        </w:p>
        <w:p>
          <w:pPr>
            <w:pStyle w:val="11"/>
            <w:ind w:left="360"/>
            <w:tabs>
              <w:tab w:val="right" w:leader="dot" w:pos="9026"/>
            </w:tabs>
            <w:spacing w:before="120" w:after="60"/>
          </w:pPr>
          <w:hyperlink w:anchor="_Toc100049" w:history="1">
            <w:r>
              <w:rPr>
                <w:rStyle w:val="Hyperlink"/>
              </w:rPr>
              <w:t>7.3 Chat Buttons</w:t>
            </w:r>
            <w:r>
              <w:tab/>
            </w:r>
            <w:r>
              <w:fldChar w:fldCharType="begin"/>
            </w:r>
            <w:r>
              <w:instrText xml:space="preserve"> PAGEREF _Toc100049 \h </w:instrText>
            </w:r>
            <w:r>
              <w:fldChar w:fldCharType="separate"/>
            </w:r>
            <w:r>
              <w:t>14</w:t>
            </w:r>
            <w:r>
              <w:fldChar w:fldCharType="end"/>
            </w:r>
          </w:hyperlink>
        </w:p>
        <w:p>
          <w:pPr>
            <w:pStyle w:val="11"/>
            <w:ind w:left="360"/>
            <w:tabs>
              <w:tab w:val="right" w:leader="dot" w:pos="9026"/>
            </w:tabs>
            <w:spacing w:before="120" w:after="60"/>
          </w:pPr>
          <w:hyperlink w:anchor="_Toc100050" w:history="1">
            <w:r>
              <w:rPr>
                <w:rStyle w:val="Hyperlink"/>
              </w:rPr>
              <w:t>7.4 Routing Rules</w:t>
            </w:r>
            <w:r>
              <w:tab/>
            </w:r>
            <w:r>
              <w:fldChar w:fldCharType="begin"/>
            </w:r>
            <w:r>
              <w:instrText xml:space="preserve"> PAGEREF _Toc100050 \h </w:instrText>
            </w:r>
            <w:r>
              <w:fldChar w:fldCharType="separate"/>
            </w:r>
            <w:r>
              <w:t>14</w:t>
            </w:r>
            <w:r>
              <w:fldChar w:fldCharType="end"/>
            </w:r>
          </w:hyperlink>
        </w:p>
        <w:p>
          <w:pPr>
            <w:pStyle w:val="11"/>
            <w:ind w:left="360"/>
            <w:tabs>
              <w:tab w:val="right" w:leader="dot" w:pos="9026"/>
            </w:tabs>
            <w:spacing w:before="120" w:after="60"/>
          </w:pPr>
          <w:hyperlink w:anchor="_Toc100051" w:history="1">
            <w:r>
              <w:rPr>
                <w:rStyle w:val="Hyperlink"/>
              </w:rPr>
              <w:t>7.5 Availability Management</w:t>
            </w:r>
            <w:r>
              <w:tab/>
            </w:r>
            <w:r>
              <w:fldChar w:fldCharType="begin"/>
            </w:r>
            <w:r>
              <w:instrText xml:space="preserve"> PAGEREF _Toc100051 \h </w:instrText>
            </w:r>
            <w:r>
              <w:fldChar w:fldCharType="separate"/>
            </w:r>
            <w:r>
              <w:t>15</w:t>
            </w:r>
            <w:r>
              <w:fldChar w:fldCharType="end"/>
            </w:r>
          </w:hyperlink>
        </w:p>
        <w:p>
          <w:pPr>
            <w:pStyle w:val="11"/>
            <w:ind w:left="360"/>
            <w:tabs>
              <w:tab w:val="right" w:leader="dot" w:pos="9026"/>
            </w:tabs>
            <w:spacing w:before="120" w:after="60"/>
          </w:pPr>
          <w:hyperlink w:anchor="_Toc100052" w:history="1">
            <w:r>
              <w:rPr>
                <w:rStyle w:val="Hyperlink"/>
              </w:rPr>
              <w:t>7.6 Chat Assignment</w:t>
            </w:r>
            <w:r>
              <w:tab/>
            </w:r>
            <w:r>
              <w:fldChar w:fldCharType="begin"/>
            </w:r>
            <w:r>
              <w:instrText xml:space="preserve"> PAGEREF _Toc100052 \h </w:instrText>
            </w:r>
            <w:r>
              <w:fldChar w:fldCharType="separate"/>
            </w:r>
            <w:r>
              <w:t>15</w:t>
            </w:r>
            <w:r>
              <w:fldChar w:fldCharType="end"/>
            </w:r>
          </w:hyperlink>
        </w:p>
        <w:p>
          <w:pPr>
            <w:pStyle w:val="11"/>
            <w:ind w:left="360"/>
            <w:tabs>
              <w:tab w:val="right" w:leader="dot" w:pos="9026"/>
            </w:tabs>
            <w:spacing w:before="120" w:after="60"/>
          </w:pPr>
          <w:hyperlink w:anchor="_Toc100053" w:history="1">
            <w:r>
              <w:rPr>
                <w:rStyle w:val="Hyperlink"/>
              </w:rPr>
              <w:t>7.7 Chat History</w:t>
            </w:r>
            <w:r>
              <w:tab/>
            </w:r>
            <w:r>
              <w:fldChar w:fldCharType="begin"/>
            </w:r>
            <w:r>
              <w:instrText xml:space="preserve"> PAGEREF _Toc100053 \h </w:instrText>
            </w:r>
            <w:r>
              <w:fldChar w:fldCharType="separate"/>
            </w:r>
            <w:r>
              <w:t>15</w:t>
            </w:r>
            <w:r>
              <w:fldChar w:fldCharType="end"/>
            </w:r>
          </w:hyperlink>
        </w:p>
        <w:p>
          <w:pPr>
            <w:pStyle w:val="11"/>
            <w:ind w:left="360"/>
            <w:tabs>
              <w:tab w:val="right" w:leader="dot" w:pos="9026"/>
            </w:tabs>
            <w:spacing w:before="120" w:after="60"/>
          </w:pPr>
          <w:hyperlink w:anchor="_Toc100054" w:history="1">
            <w:r>
              <w:rPr>
                <w:rStyle w:val="Hyperlink"/>
              </w:rPr>
              <w:t>7.8 Chat Transcripts</w:t>
            </w:r>
            <w:r>
              <w:tab/>
            </w:r>
            <w:r>
              <w:fldChar w:fldCharType="begin"/>
            </w:r>
            <w:r>
              <w:instrText xml:space="preserve"> PAGEREF _Toc100054 \h </w:instrText>
            </w:r>
            <w:r>
              <w:fldChar w:fldCharType="separate"/>
            </w:r>
            <w:r>
              <w:t>15</w:t>
            </w:r>
            <w:r>
              <w:fldChar w:fldCharType="end"/>
            </w:r>
          </w:hyperlink>
        </w:p>
        <w:p>
          <w:pPr>
            <w:pStyle w:val="9"/>
            <w:tabs>
              <w:tab w:val="right" w:leader="dot" w:pos="9026"/>
            </w:tabs>
            <w:spacing w:before="120" w:after="60"/>
          </w:pPr>
          <w:hyperlink w:anchor="_Toc100055" w:history="1">
            <w:r>
              <w:rPr>
                <w:rStyle w:val="Hyperlink"/>
              </w:rPr>
              <w:t>8. Reports and Analytics</w:t>
            </w:r>
            <w:r>
              <w:tab/>
            </w:r>
            <w:r>
              <w:fldChar w:fldCharType="begin"/>
            </w:r>
            <w:r>
              <w:instrText xml:space="preserve"> PAGEREF _Toc100055 \h </w:instrText>
            </w:r>
            <w:r>
              <w:fldChar w:fldCharType="separate"/>
            </w:r>
            <w:r>
              <w:t>16</w:t>
            </w:r>
            <w:r>
              <w:fldChar w:fldCharType="end"/>
            </w:r>
          </w:hyperlink>
        </w:p>
        <w:p>
          <w:pPr>
            <w:pStyle w:val="11"/>
            <w:ind w:left="360"/>
            <w:tabs>
              <w:tab w:val="right" w:leader="dot" w:pos="9026"/>
            </w:tabs>
            <w:spacing w:before="120" w:after="60"/>
          </w:pPr>
          <w:hyperlink w:anchor="_Toc100056" w:history="1">
            <w:r>
              <w:rPr>
                <w:rStyle w:val="Hyperlink"/>
              </w:rPr>
              <w:t>8.1 Data Summary</w:t>
            </w:r>
            <w:r>
              <w:tab/>
            </w:r>
            <w:r>
              <w:fldChar w:fldCharType="begin"/>
            </w:r>
            <w:r>
              <w:instrText xml:space="preserve"> PAGEREF _Toc100056 \h </w:instrText>
            </w:r>
            <w:r>
              <w:fldChar w:fldCharType="separate"/>
            </w:r>
            <w:r>
              <w:t>16</w:t>
            </w:r>
            <w:r>
              <w:fldChar w:fldCharType="end"/>
            </w:r>
          </w:hyperlink>
        </w:p>
        <w:p>
          <w:pPr>
            <w:pStyle w:val="11"/>
            <w:ind w:left="360"/>
            <w:tabs>
              <w:tab w:val="right" w:leader="dot" w:pos="9026"/>
            </w:tabs>
            <w:spacing w:before="120" w:after="60"/>
          </w:pPr>
          <w:hyperlink w:anchor="_Toc100057" w:history="1">
            <w:r>
              <w:rPr>
                <w:rStyle w:val="Hyperlink"/>
              </w:rPr>
              <w:t>8.2 Chat Reports</w:t>
            </w:r>
            <w:r>
              <w:tab/>
            </w:r>
            <w:r>
              <w:fldChar w:fldCharType="begin"/>
            </w:r>
            <w:r>
              <w:instrText xml:space="preserve"> PAGEREF _Toc100057 \h </w:instrText>
            </w:r>
            <w:r>
              <w:fldChar w:fldCharType="separate"/>
            </w:r>
            <w:r>
              <w:t>16</w:t>
            </w:r>
            <w:r>
              <w:fldChar w:fldCharType="end"/>
            </w:r>
          </w:hyperlink>
        </w:p>
        <w:p>
          <w:pPr>
            <w:pStyle w:val="11"/>
            <w:ind w:left="360"/>
            <w:tabs>
              <w:tab w:val="right" w:leader="dot" w:pos="9026"/>
            </w:tabs>
            <w:spacing w:before="120" w:after="60"/>
          </w:pPr>
          <w:hyperlink w:anchor="_Toc100058" w:history="1">
            <w:r>
              <w:rPr>
                <w:rStyle w:val="Hyperlink"/>
              </w:rPr>
              <w:t>8.3 Data Export</w:t>
            </w:r>
            <w:r>
              <w:tab/>
            </w:r>
            <w:r>
              <w:fldChar w:fldCharType="begin"/>
            </w:r>
            <w:r>
              <w:instrText xml:space="preserve"> PAGEREF _Toc100058 \h </w:instrText>
            </w:r>
            <w:r>
              <w:fldChar w:fldCharType="separate"/>
            </w:r>
            <w:r>
              <w:t>16</w:t>
            </w:r>
            <w:r>
              <w:fldChar w:fldCharType="end"/>
            </w:r>
          </w:hyperlink>
        </w:p>
        <w:p>
          <w:pPr>
            <w:pStyle w:val="11"/>
            <w:ind w:left="360"/>
            <w:tabs>
              <w:tab w:val="right" w:leader="dot" w:pos="9026"/>
            </w:tabs>
            <w:spacing w:before="120" w:after="60"/>
          </w:pPr>
          <w:hyperlink w:anchor="_Toc100059" w:history="1">
            <w:r>
              <w:rPr>
                <w:rStyle w:val="Hyperlink"/>
              </w:rPr>
              <w:t>8.4 Agent Reports</w:t>
            </w:r>
            <w:r>
              <w:tab/>
            </w:r>
            <w:r>
              <w:fldChar w:fldCharType="begin"/>
            </w:r>
            <w:r>
              <w:instrText xml:space="preserve"> PAGEREF _Toc100059 \h </w:instrText>
            </w:r>
            <w:r>
              <w:fldChar w:fldCharType="separate"/>
            </w:r>
            <w:r>
              <w:t>17</w:t>
            </w:r>
            <w:r>
              <w:fldChar w:fldCharType="end"/>
            </w:r>
          </w:hyperlink>
        </w:p>
        <w:p>
          <w:pPr>
            <w:pStyle w:val="11"/>
            <w:ind w:left="360"/>
            <w:tabs>
              <w:tab w:val="right" w:leader="dot" w:pos="9026"/>
            </w:tabs>
            <w:spacing w:before="120" w:after="60"/>
          </w:pPr>
          <w:hyperlink w:anchor="_Toc100060" w:history="1">
            <w:r>
              <w:rPr>
                <w:rStyle w:val="Hyperlink"/>
              </w:rPr>
              <w:t>8.5 Customer Reports</w:t>
            </w:r>
            <w:r>
              <w:tab/>
            </w:r>
            <w:r>
              <w:fldChar w:fldCharType="begin"/>
            </w:r>
            <w:r>
              <w:instrText xml:space="preserve"> PAGEREF _Toc100060 \h </w:instrText>
            </w:r>
            <w:r>
              <w:fldChar w:fldCharType="separate"/>
            </w:r>
            <w:r>
              <w:t>17</w:t>
            </w:r>
            <w:r>
              <w:fldChar w:fldCharType="end"/>
            </w:r>
          </w:hyperlink>
        </w:p>
        <w:p>
          <w:pPr>
            <w:pStyle w:val="11"/>
            <w:ind w:left="360"/>
            <w:tabs>
              <w:tab w:val="right" w:leader="dot" w:pos="9026"/>
            </w:tabs>
            <w:spacing w:before="120" w:after="60"/>
          </w:pPr>
          <w:hyperlink w:anchor="_Toc100061" w:history="1">
            <w:r>
              <w:rPr>
                <w:rStyle w:val="Hyperlink"/>
              </w:rPr>
              <w:t>8.6 Ecommerce Reports</w:t>
            </w:r>
            <w:r>
              <w:tab/>
            </w:r>
            <w:r>
              <w:fldChar w:fldCharType="begin"/>
            </w:r>
            <w:r>
              <w:instrText xml:space="preserve"> PAGEREF _Toc100061 \h </w:instrText>
            </w:r>
            <w:r>
              <w:fldChar w:fldCharType="separate"/>
            </w:r>
            <w:r>
              <w:t>17</w:t>
            </w:r>
            <w:r>
              <w:fldChar w:fldCharType="end"/>
            </w:r>
          </w:hyperlink>
        </w:p>
        <w:p>
          <w:pPr>
            <w:pStyle w:val="11"/>
            <w:ind w:left="360"/>
            <w:tabs>
              <w:tab w:val="right" w:leader="dot" w:pos="9026"/>
            </w:tabs>
            <w:spacing w:before="120" w:after="60"/>
          </w:pPr>
          <w:hyperlink w:anchor="_Toc100062" w:history="1">
            <w:r>
              <w:rPr>
                <w:rStyle w:val="Hyperlink"/>
              </w:rPr>
              <w:t>8.7 Filters</w:t>
            </w:r>
            <w:r>
              <w:tab/>
            </w:r>
            <w:r>
              <w:fldChar w:fldCharType="begin"/>
            </w:r>
            <w:r>
              <w:instrText xml:space="preserve"> PAGEREF _Toc100062 \h </w:instrText>
            </w:r>
            <w:r>
              <w:fldChar w:fldCharType="separate"/>
            </w:r>
            <w:r>
              <w:t>17</w:t>
            </w:r>
            <w:r>
              <w:fldChar w:fldCharType="end"/>
            </w:r>
          </w:hyperlink>
        </w:p>
        <w:p>
          <w:pPr>
            <w:pStyle w:val="11"/>
            <w:ind w:left="360"/>
            <w:tabs>
              <w:tab w:val="right" w:leader="dot" w:pos="9026"/>
            </w:tabs>
            <w:spacing w:before="120" w:after="60"/>
          </w:pPr>
          <w:hyperlink w:anchor="_Toc100063" w:history="1">
            <w:r>
              <w:rPr>
                <w:rStyle w:val="Hyperlink"/>
              </w:rPr>
              <w:t>8.8 Dashboard</w:t>
            </w:r>
            <w:r>
              <w:tab/>
            </w:r>
            <w:r>
              <w:fldChar w:fldCharType="begin"/>
            </w:r>
            <w:r>
              <w:instrText xml:space="preserve"> PAGEREF _Toc100063 \h </w:instrText>
            </w:r>
            <w:r>
              <w:fldChar w:fldCharType="separate"/>
            </w:r>
            <w:r>
              <w:t>18</w:t>
            </w:r>
            <w:r>
              <w:fldChar w:fldCharType="end"/>
            </w:r>
          </w:hyperlink>
        </w:p>
        <w:p>
          <w:pPr>
            <w:pStyle w:val="11"/>
            <w:ind w:left="360"/>
            <w:tabs>
              <w:tab w:val="right" w:leader="dot" w:pos="9026"/>
            </w:tabs>
            <w:spacing w:before="120" w:after="60"/>
          </w:pPr>
          <w:hyperlink w:anchor="_Toc100064" w:history="1">
            <w:r>
              <w:rPr>
                <w:rStyle w:val="Hyperlink"/>
              </w:rPr>
              <w:t>8.9 Sales Tracker</w:t>
            </w:r>
            <w:r>
              <w:tab/>
            </w:r>
            <w:r>
              <w:fldChar w:fldCharType="begin"/>
            </w:r>
            <w:r>
              <w:instrText xml:space="preserve"> PAGEREF _Toc100064 \h </w:instrText>
            </w:r>
            <w:r>
              <w:fldChar w:fldCharType="separate"/>
            </w:r>
            <w:r>
              <w:t>18</w:t>
            </w:r>
            <w:r>
              <w:fldChar w:fldCharType="end"/>
            </w:r>
          </w:hyperlink>
        </w:p>
        <w:p>
          <w:pPr>
            <w:pStyle w:val="11"/>
            <w:ind w:left="360"/>
            <w:tabs>
              <w:tab w:val="right" w:leader="dot" w:pos="9026"/>
            </w:tabs>
            <w:spacing w:before="120" w:after="60"/>
          </w:pPr>
          <w:hyperlink w:anchor="_Toc100065" w:history="1">
            <w:r>
              <w:rPr>
                <w:rStyle w:val="Hyperlink"/>
              </w:rPr>
              <w:t>8.10 Agent Performance</w:t>
            </w:r>
            <w:r>
              <w:tab/>
            </w:r>
            <w:r>
              <w:fldChar w:fldCharType="begin"/>
            </w:r>
            <w:r>
              <w:instrText xml:space="preserve"> PAGEREF _Toc100065 \h </w:instrText>
            </w:r>
            <w:r>
              <w:fldChar w:fldCharType="separate"/>
            </w:r>
            <w:r>
              <w:t>18</w:t>
            </w:r>
            <w:r>
              <w:fldChar w:fldCharType="end"/>
            </w:r>
          </w:hyperlink>
        </w:p>
        <w:p>
          <w:pPr>
            <w:pStyle w:val="11"/>
            <w:ind w:left="360"/>
            <w:tabs>
              <w:tab w:val="right" w:leader="dot" w:pos="9026"/>
            </w:tabs>
            <w:spacing w:before="120" w:after="60"/>
          </w:pPr>
          <w:hyperlink w:anchor="_Toc100066" w:history="1">
            <w:r>
              <w:rPr>
                <w:rStyle w:val="Hyperlink"/>
              </w:rPr>
              <w:t>8.11 Campaign Conversion</w:t>
            </w:r>
            <w:r>
              <w:tab/>
            </w:r>
            <w:r>
              <w:fldChar w:fldCharType="begin"/>
            </w:r>
            <w:r>
              <w:instrText xml:space="preserve"> PAGEREF _Toc100066 \h </w:instrText>
            </w:r>
            <w:r>
              <w:fldChar w:fldCharType="separate"/>
            </w:r>
            <w:r>
              <w:t>18</w:t>
            </w:r>
            <w:r>
              <w:fldChar w:fldCharType="end"/>
            </w:r>
          </w:hyperlink>
        </w:p>
        <w:p>
          <w:pPr>
            <w:pStyle w:val="11"/>
            <w:ind w:left="360"/>
            <w:tabs>
              <w:tab w:val="right" w:leader="dot" w:pos="9026"/>
            </w:tabs>
            <w:spacing w:before="120" w:after="60"/>
          </w:pPr>
          <w:hyperlink w:anchor="_Toc100067" w:history="1">
            <w:r>
              <w:rPr>
                <w:rStyle w:val="Hyperlink"/>
              </w:rPr>
              <w:t>8.12 Chat Engagement</w:t>
            </w:r>
            <w:r>
              <w:tab/>
            </w:r>
            <w:r>
              <w:fldChar w:fldCharType="begin"/>
            </w:r>
            <w:r>
              <w:instrText xml:space="preserve"> PAGEREF _Toc100067 \h </w:instrText>
            </w:r>
            <w:r>
              <w:fldChar w:fldCharType="separate"/>
            </w:r>
            <w:r>
              <w:t>19</w:t>
            </w:r>
            <w:r>
              <w:fldChar w:fldCharType="end"/>
            </w:r>
          </w:hyperlink>
        </w:p>
        <w:p>
          <w:pPr>
            <w:pStyle w:val="11"/>
            <w:ind w:left="360"/>
            <w:tabs>
              <w:tab w:val="right" w:leader="dot" w:pos="9026"/>
            </w:tabs>
            <w:spacing w:before="120" w:after="60"/>
          </w:pPr>
          <w:hyperlink w:anchor="_Toc100068" w:history="1">
            <w:r>
              <w:rPr>
                <w:rStyle w:val="Hyperlink"/>
              </w:rPr>
              <w:t>8.13 Chat Satisfaction</w:t>
            </w:r>
            <w:r>
              <w:tab/>
            </w:r>
            <w:r>
              <w:fldChar w:fldCharType="begin"/>
            </w:r>
            <w:r>
              <w:instrText xml:space="preserve"> PAGEREF _Toc100068 \h </w:instrText>
            </w:r>
            <w:r>
              <w:fldChar w:fldCharType="separate"/>
            </w:r>
            <w:r>
              <w:t>19</w:t>
            </w:r>
            <w:r>
              <w:fldChar w:fldCharType="end"/>
            </w:r>
          </w:hyperlink>
        </w:p>
        <w:p>
          <w:pPr>
            <w:pStyle w:val="11"/>
            <w:ind w:left="360"/>
            <w:tabs>
              <w:tab w:val="right" w:leader="dot" w:pos="9026"/>
            </w:tabs>
            <w:spacing w:before="120" w:after="60"/>
          </w:pPr>
          <w:hyperlink w:anchor="_Toc100069" w:history="1">
            <w:r>
              <w:rPr>
                <w:rStyle w:val="Hyperlink"/>
              </w:rPr>
              <w:t>8.14 Achieved Goals</w:t>
            </w:r>
            <w:r>
              <w:tab/>
            </w:r>
            <w:r>
              <w:fldChar w:fldCharType="begin"/>
            </w:r>
            <w:r>
              <w:instrText xml:space="preserve"> PAGEREF _Toc100069 \h </w:instrText>
            </w:r>
            <w:r>
              <w:fldChar w:fldCharType="separate"/>
            </w:r>
            <w:r>
              <w:t>19</w:t>
            </w:r>
            <w:r>
              <w:fldChar w:fldCharType="end"/>
            </w:r>
          </w:hyperlink>
        </w:p>
        <w:p>
          <w:pPr>
            <w:pStyle w:val="11"/>
            <w:ind w:left="360"/>
            <w:tabs>
              <w:tab w:val="right" w:leader="dot" w:pos="9026"/>
            </w:tabs>
            <w:spacing w:before="120" w:after="60"/>
          </w:pPr>
          <w:hyperlink w:anchor="_Toc100070" w:history="1">
            <w:r>
              <w:rPr>
                <w:rStyle w:val="Hyperlink"/>
              </w:rPr>
              <w:t>8.15 Staffing Prediction</w:t>
            </w:r>
            <w:r>
              <w:tab/>
            </w:r>
            <w:r>
              <w:fldChar w:fldCharType="begin"/>
            </w:r>
            <w:r>
              <w:instrText xml:space="preserve"> PAGEREF _Toc100070 \h </w:instrText>
            </w:r>
            <w:r>
              <w:fldChar w:fldCharType="separate"/>
            </w:r>
            <w:r>
              <w:t>19</w:t>
            </w:r>
            <w:r>
              <w:fldChar w:fldCharType="end"/>
            </w:r>
          </w:hyperlink>
        </w:p>
        <w:p>
          <w:pPr>
            <w:pStyle w:val="11"/>
            <w:ind w:left="360"/>
            <w:tabs>
              <w:tab w:val="right" w:leader="dot" w:pos="9026"/>
            </w:tabs>
            <w:spacing w:before="120" w:after="60"/>
          </w:pPr>
          <w:hyperlink w:anchor="_Toc100071" w:history="1">
            <w:r>
              <w:rPr>
                <w:rStyle w:val="Hyperlink"/>
              </w:rPr>
              <w:t>8.16 Website Traffic</w:t>
            </w:r>
            <w:r>
              <w:tab/>
            </w:r>
            <w:r>
              <w:fldChar w:fldCharType="begin"/>
            </w:r>
            <w:r>
              <w:instrText xml:space="preserve"> PAGEREF _Toc100071 \h </w:instrText>
            </w:r>
            <w:r>
              <w:fldChar w:fldCharType="separate"/>
            </w:r>
            <w:r>
              <w:t>20</w:t>
            </w:r>
            <w:r>
              <w:fldChar w:fldCharType="end"/>
            </w:r>
          </w:hyperlink>
        </w:p>
        <w:p>
          <w:pPr>
            <w:pStyle w:val="9"/>
            <w:tabs>
              <w:tab w:val="right" w:leader="dot" w:pos="9026"/>
            </w:tabs>
            <w:spacing w:before="120" w:after="60"/>
          </w:pPr>
          <w:hyperlink w:anchor="_Toc100072" w:history="1">
            <w:r>
              <w:rPr>
                <w:rStyle w:val="Hyperlink"/>
              </w:rPr>
              <w:t>9. Sales and Ecommerce Features</w:t>
            </w:r>
            <w:r>
              <w:tab/>
            </w:r>
            <w:r>
              <w:fldChar w:fldCharType="begin"/>
            </w:r>
            <w:r>
              <w:instrText xml:space="preserve"> PAGEREF _Toc100072 \h </w:instrText>
            </w:r>
            <w:r>
              <w:fldChar w:fldCharType="separate"/>
            </w:r>
            <w:r>
              <w:t>20</w:t>
            </w:r>
            <w:r>
              <w:fldChar w:fldCharType="end"/>
            </w:r>
          </w:hyperlink>
        </w:p>
        <w:p>
          <w:pPr>
            <w:pStyle w:val="11"/>
            <w:ind w:left="360"/>
            <w:tabs>
              <w:tab w:val="right" w:leader="dot" w:pos="9026"/>
            </w:tabs>
            <w:spacing w:before="120" w:after="60"/>
          </w:pPr>
          <w:hyperlink w:anchor="_Toc100073" w:history="1">
            <w:r>
              <w:rPr>
                <w:rStyle w:val="Hyperlink"/>
              </w:rPr>
              <w:t>9.1 Customer Data</w:t>
            </w:r>
            <w:r>
              <w:tab/>
            </w:r>
            <w:r>
              <w:fldChar w:fldCharType="begin"/>
            </w:r>
            <w:r>
              <w:instrText xml:space="preserve"> PAGEREF _Toc100073 \h </w:instrText>
            </w:r>
            <w:r>
              <w:fldChar w:fldCharType="separate"/>
            </w:r>
            <w:r>
              <w:t>20</w:t>
            </w:r>
            <w:r>
              <w:fldChar w:fldCharType="end"/>
            </w:r>
          </w:hyperlink>
        </w:p>
        <w:p>
          <w:pPr>
            <w:pStyle w:val="11"/>
            <w:ind w:left="360"/>
            <w:tabs>
              <w:tab w:val="right" w:leader="dot" w:pos="9026"/>
            </w:tabs>
            <w:spacing w:before="120" w:after="60"/>
          </w:pPr>
          <w:hyperlink w:anchor="_Toc100074" w:history="1">
            <w:r>
              <w:rPr>
                <w:rStyle w:val="Hyperlink"/>
              </w:rPr>
              <w:t>9.2 Product Cards</w:t>
            </w:r>
            <w:r>
              <w:tab/>
            </w:r>
            <w:r>
              <w:fldChar w:fldCharType="begin"/>
            </w:r>
            <w:r>
              <w:instrText xml:space="preserve"> PAGEREF _Toc100074 \h </w:instrText>
            </w:r>
            <w:r>
              <w:fldChar w:fldCharType="separate"/>
            </w:r>
            <w:r>
              <w:t>20</w:t>
            </w:r>
            <w:r>
              <w:fldChar w:fldCharType="end"/>
            </w:r>
          </w:hyperlink>
        </w:p>
        <w:p>
          <w:pPr>
            <w:pStyle w:val="11"/>
            <w:ind w:left="360"/>
            <w:tabs>
              <w:tab w:val="right" w:leader="dot" w:pos="9026"/>
            </w:tabs>
            <w:spacing w:before="120" w:after="60"/>
          </w:pPr>
          <w:hyperlink w:anchor="_Toc100075" w:history="1">
            <w:r>
              <w:rPr>
                <w:rStyle w:val="Hyperlink"/>
              </w:rPr>
              <w:t>9.3 Ecommerce Integrations</w:t>
            </w:r>
            <w:r>
              <w:tab/>
            </w:r>
            <w:r>
              <w:fldChar w:fldCharType="begin"/>
            </w:r>
            <w:r>
              <w:instrText xml:space="preserve"> PAGEREF _Toc100075 \h </w:instrText>
            </w:r>
            <w:r>
              <w:fldChar w:fldCharType="separate"/>
            </w:r>
            <w:r>
              <w:t>21</w:t>
            </w:r>
            <w:r>
              <w:fldChar w:fldCharType="end"/>
            </w:r>
          </w:hyperlink>
        </w:p>
        <w:p>
          <w:pPr>
            <w:pStyle w:val="11"/>
            <w:ind w:left="360"/>
            <w:tabs>
              <w:tab w:val="right" w:leader="dot" w:pos="9026"/>
            </w:tabs>
            <w:spacing w:before="120" w:after="60"/>
          </w:pPr>
          <w:hyperlink w:anchor="_Toc100076" w:history="1">
            <w:r>
              <w:rPr>
                <w:rStyle w:val="Hyperlink"/>
              </w:rPr>
              <w:t>9.4 Goals and Sales Tracker</w:t>
            </w:r>
            <w:r>
              <w:tab/>
            </w:r>
            <w:r>
              <w:fldChar w:fldCharType="begin"/>
            </w:r>
            <w:r>
              <w:instrText xml:space="preserve"> PAGEREF _Toc100076 \h </w:instrText>
            </w:r>
            <w:r>
              <w:fldChar w:fldCharType="separate"/>
            </w:r>
            <w:r>
              <w:t>21</w:t>
            </w:r>
            <w:r>
              <w:fldChar w:fldCharType="end"/>
            </w:r>
          </w:hyperlink>
        </w:p>
        <w:p>
          <w:pPr>
            <w:pStyle w:val="9"/>
            <w:tabs>
              <w:tab w:val="right" w:leader="dot" w:pos="9026"/>
            </w:tabs>
            <w:spacing w:before="120" w:after="60"/>
          </w:pPr>
          <w:hyperlink w:anchor="_Toc100077" w:history="1">
            <w:r>
              <w:rPr>
                <w:rStyle w:val="Hyperlink"/>
              </w:rPr>
              <w:t>10. Team Management</w:t>
            </w:r>
            <w:r>
              <w:tab/>
            </w:r>
            <w:r>
              <w:fldChar w:fldCharType="begin"/>
            </w:r>
            <w:r>
              <w:instrText xml:space="preserve"> PAGEREF _Toc100077 \h </w:instrText>
            </w:r>
            <w:r>
              <w:fldChar w:fldCharType="separate"/>
            </w:r>
            <w:r>
              <w:t>21</w:t>
            </w:r>
            <w:r>
              <w:fldChar w:fldCharType="end"/>
            </w:r>
          </w:hyperlink>
        </w:p>
        <w:p>
          <w:pPr>
            <w:pStyle w:val="11"/>
            <w:ind w:left="360"/>
            <w:tabs>
              <w:tab w:val="right" w:leader="dot" w:pos="9026"/>
            </w:tabs>
            <w:spacing w:before="120" w:after="60"/>
          </w:pPr>
          <w:hyperlink w:anchor="_Toc100078" w:history="1">
            <w:r>
              <w:rPr>
                <w:rStyle w:val="Hyperlink"/>
              </w:rPr>
              <w:t>10.1 Agent Accounts</w:t>
            </w:r>
            <w:r>
              <w:tab/>
            </w:r>
            <w:r>
              <w:fldChar w:fldCharType="begin"/>
            </w:r>
            <w:r>
              <w:instrText xml:space="preserve"> PAGEREF _Toc100078 \h </w:instrText>
            </w:r>
            <w:r>
              <w:fldChar w:fldCharType="separate"/>
            </w:r>
            <w:r>
              <w:t>21</w:t>
            </w:r>
            <w:r>
              <w:fldChar w:fldCharType="end"/>
            </w:r>
          </w:hyperlink>
        </w:p>
        <w:p>
          <w:pPr>
            <w:pStyle w:val="11"/>
            <w:ind w:left="360"/>
            <w:tabs>
              <w:tab w:val="right" w:leader="dot" w:pos="9026"/>
            </w:tabs>
            <w:spacing w:before="120" w:after="60"/>
          </w:pPr>
          <w:hyperlink w:anchor="_Toc100079" w:history="1">
            <w:r>
              <w:rPr>
                <w:rStyle w:val="Hyperlink"/>
              </w:rPr>
              <w:t>10.2 Groups (Departments)</w:t>
            </w:r>
            <w:r>
              <w:tab/>
            </w:r>
            <w:r>
              <w:fldChar w:fldCharType="begin"/>
            </w:r>
            <w:r>
              <w:instrText xml:space="preserve"> PAGEREF _Toc100079 \h </w:instrText>
            </w:r>
            <w:r>
              <w:fldChar w:fldCharType="separate"/>
            </w:r>
            <w:r>
              <w:t>22</w:t>
            </w:r>
            <w:r>
              <w:fldChar w:fldCharType="end"/>
            </w:r>
          </w:hyperlink>
        </w:p>
        <w:p>
          <w:pPr>
            <w:pStyle w:val="11"/>
            <w:ind w:left="360"/>
            <w:tabs>
              <w:tab w:val="right" w:leader="dot" w:pos="9026"/>
            </w:tabs>
            <w:spacing w:before="120" w:after="60"/>
          </w:pPr>
          <w:hyperlink w:anchor="_Toc100080" w:history="1">
            <w:r>
              <w:rPr>
                <w:rStyle w:val="Hyperlink"/>
              </w:rPr>
              <w:t>10.3 Chat Supervision</w:t>
            </w:r>
            <w:r>
              <w:tab/>
            </w:r>
            <w:r>
              <w:fldChar w:fldCharType="begin"/>
            </w:r>
            <w:r>
              <w:instrText xml:space="preserve"> PAGEREF _Toc100080 \h </w:instrText>
            </w:r>
            <w:r>
              <w:fldChar w:fldCharType="separate"/>
            </w:r>
            <w:r>
              <w:t>22</w:t>
            </w:r>
            <w:r>
              <w:fldChar w:fldCharType="end"/>
            </w:r>
          </w:hyperlink>
        </w:p>
        <w:p>
          <w:pPr>
            <w:pStyle w:val="11"/>
            <w:ind w:left="360"/>
            <w:tabs>
              <w:tab w:val="right" w:leader="dot" w:pos="9026"/>
            </w:tabs>
            <w:spacing w:before="120" w:after="60"/>
          </w:pPr>
          <w:hyperlink w:anchor="_Toc100081" w:history="1">
            <w:r>
              <w:rPr>
                <w:rStyle w:val="Hyperlink"/>
              </w:rPr>
              <w:t>10.4 Agent Roles and Permissions</w:t>
            </w:r>
            <w:r>
              <w:tab/>
            </w:r>
            <w:r>
              <w:fldChar w:fldCharType="begin"/>
            </w:r>
            <w:r>
              <w:instrText xml:space="preserve"> PAGEREF _Toc100081 \h </w:instrText>
            </w:r>
            <w:r>
              <w:fldChar w:fldCharType="separate"/>
            </w:r>
            <w:r>
              <w:t>22</w:t>
            </w:r>
            <w:r>
              <w:fldChar w:fldCharType="end"/>
            </w:r>
          </w:hyperlink>
        </w:p>
        <w:p>
          <w:pPr>
            <w:pStyle w:val="11"/>
            <w:ind w:left="360"/>
            <w:tabs>
              <w:tab w:val="right" w:leader="dot" w:pos="9026"/>
            </w:tabs>
            <w:spacing w:before="120" w:after="60"/>
          </w:pPr>
          <w:hyperlink w:anchor="_Toc100082" w:history="1">
            <w:r>
              <w:rPr>
                <w:rStyle w:val="Hyperlink"/>
              </w:rPr>
              <w:t>10.5 Chat Limit</w:t>
            </w:r>
            <w:r>
              <w:tab/>
            </w:r>
            <w:r>
              <w:fldChar w:fldCharType="begin"/>
            </w:r>
            <w:r>
              <w:instrText xml:space="preserve"> PAGEREF _Toc100082 \h </w:instrText>
            </w:r>
            <w:r>
              <w:fldChar w:fldCharType="separate"/>
            </w:r>
            <w:r>
              <w:t>22</w:t>
            </w:r>
            <w:r>
              <w:fldChar w:fldCharType="end"/>
            </w:r>
          </w:hyperlink>
        </w:p>
        <w:p>
          <w:pPr>
            <w:pStyle w:val="11"/>
            <w:ind w:left="360"/>
            <w:tabs>
              <w:tab w:val="right" w:leader="dot" w:pos="9026"/>
            </w:tabs>
            <w:spacing w:before="120" w:after="60"/>
          </w:pPr>
          <w:hyperlink w:anchor="_Toc100083" w:history="1">
            <w:r>
              <w:rPr>
                <w:rStyle w:val="Hyperlink"/>
              </w:rPr>
              <w:t>10.6 Work Scheduler</w:t>
            </w:r>
            <w:r>
              <w:tab/>
            </w:r>
            <w:r>
              <w:fldChar w:fldCharType="begin"/>
            </w:r>
            <w:r>
              <w:instrText xml:space="preserve"> PAGEREF _Toc100083 \h </w:instrText>
            </w:r>
            <w:r>
              <w:fldChar w:fldCharType="separate"/>
            </w:r>
            <w:r>
              <w:t>23</w:t>
            </w:r>
            <w:r>
              <w:fldChar w:fldCharType="end"/>
            </w:r>
          </w:hyperlink>
        </w:p>
        <w:p>
          <w:pPr>
            <w:pStyle w:val="9"/>
            <w:tabs>
              <w:tab w:val="right" w:leader="dot" w:pos="9026"/>
            </w:tabs>
            <w:spacing w:before="120" w:after="60"/>
          </w:pPr>
          <w:hyperlink w:anchor="_Toc100084" w:history="1">
            <w:r>
              <w:rPr>
                <w:rStyle w:val="Hyperlink"/>
              </w:rPr>
              <w:t>11. Security and Compliance</w:t>
            </w:r>
            <w:r>
              <w:tab/>
            </w:r>
            <w:r>
              <w:fldChar w:fldCharType="begin"/>
            </w:r>
            <w:r>
              <w:instrText xml:space="preserve"> PAGEREF _Toc100084 \h </w:instrText>
            </w:r>
            <w:r>
              <w:fldChar w:fldCharType="separate"/>
            </w:r>
            <w:r>
              <w:t>23</w:t>
            </w:r>
            <w:r>
              <w:fldChar w:fldCharType="end"/>
            </w:r>
          </w:hyperlink>
        </w:p>
        <w:p>
          <w:pPr>
            <w:pStyle w:val="11"/>
            <w:ind w:left="360"/>
            <w:tabs>
              <w:tab w:val="right" w:leader="dot" w:pos="9026"/>
            </w:tabs>
            <w:spacing w:before="120" w:after="60"/>
          </w:pPr>
          <w:hyperlink w:anchor="_Toc100085" w:history="1">
            <w:r>
              <w:rPr>
                <w:rStyle w:val="Hyperlink"/>
              </w:rPr>
              <w:t>11.1 SSL Encryption</w:t>
            </w:r>
            <w:r>
              <w:tab/>
            </w:r>
            <w:r>
              <w:fldChar w:fldCharType="begin"/>
            </w:r>
            <w:r>
              <w:instrText xml:space="preserve"> PAGEREF _Toc100085 \h </w:instrText>
            </w:r>
            <w:r>
              <w:fldChar w:fldCharType="separate"/>
            </w:r>
            <w:r>
              <w:t>23</w:t>
            </w:r>
            <w:r>
              <w:fldChar w:fldCharType="end"/>
            </w:r>
          </w:hyperlink>
        </w:p>
        <w:p>
          <w:pPr>
            <w:pStyle w:val="11"/>
            <w:ind w:left="360"/>
            <w:tabs>
              <w:tab w:val="right" w:leader="dot" w:pos="9026"/>
            </w:tabs>
            <w:spacing w:before="120" w:after="60"/>
          </w:pPr>
          <w:hyperlink w:anchor="_Toc100086" w:history="1">
            <w:r>
              <w:rPr>
                <w:rStyle w:val="Hyperlink"/>
              </w:rPr>
              <w:t>11.2 Credit Card Masking</w:t>
            </w:r>
            <w:r>
              <w:tab/>
            </w:r>
            <w:r>
              <w:fldChar w:fldCharType="begin"/>
            </w:r>
            <w:r>
              <w:instrText xml:space="preserve"> PAGEREF _Toc100086 \h </w:instrText>
            </w:r>
            <w:r>
              <w:fldChar w:fldCharType="separate"/>
            </w:r>
            <w:r>
              <w:t>23</w:t>
            </w:r>
            <w:r>
              <w:fldChar w:fldCharType="end"/>
            </w:r>
          </w:hyperlink>
        </w:p>
        <w:p>
          <w:pPr>
            <w:pStyle w:val="11"/>
            <w:ind w:left="360"/>
            <w:tabs>
              <w:tab w:val="right" w:leader="dot" w:pos="9026"/>
            </w:tabs>
            <w:spacing w:before="120" w:after="60"/>
          </w:pPr>
          <w:hyperlink w:anchor="_Toc100087" w:history="1">
            <w:r>
              <w:rPr>
                <w:rStyle w:val="Hyperlink"/>
              </w:rPr>
              <w:t>11.3 Data Centers (US and Europe)</w:t>
            </w:r>
            <w:r>
              <w:tab/>
            </w:r>
            <w:r>
              <w:fldChar w:fldCharType="begin"/>
            </w:r>
            <w:r>
              <w:instrText xml:space="preserve"> PAGEREF _Toc100087 \h </w:instrText>
            </w:r>
            <w:r>
              <w:fldChar w:fldCharType="separate"/>
            </w:r>
            <w:r>
              <w:t>24</w:t>
            </w:r>
            <w:r>
              <w:fldChar w:fldCharType="end"/>
            </w:r>
          </w:hyperlink>
        </w:p>
        <w:p>
          <w:pPr>
            <w:pStyle w:val="11"/>
            <w:ind w:left="360"/>
            <w:tabs>
              <w:tab w:val="right" w:leader="dot" w:pos="9026"/>
            </w:tabs>
            <w:spacing w:before="120" w:after="60"/>
          </w:pPr>
          <w:hyperlink w:anchor="_Toc100088" w:history="1">
            <w:r>
              <w:rPr>
                <w:rStyle w:val="Hyperlink"/>
              </w:rPr>
              <w:t>11.4 IP-Based Access Restriction</w:t>
            </w:r>
            <w:r>
              <w:tab/>
            </w:r>
            <w:r>
              <w:fldChar w:fldCharType="begin"/>
            </w:r>
            <w:r>
              <w:instrText xml:space="preserve"> PAGEREF _Toc100088 \h </w:instrText>
            </w:r>
            <w:r>
              <w:fldChar w:fldCharType="separate"/>
            </w:r>
            <w:r>
              <w:t>24</w:t>
            </w:r>
            <w:r>
              <w:fldChar w:fldCharType="end"/>
            </w:r>
          </w:hyperlink>
        </w:p>
        <w:p>
          <w:pPr>
            <w:pStyle w:val="11"/>
            <w:ind w:left="360"/>
            <w:tabs>
              <w:tab w:val="right" w:leader="dot" w:pos="9026"/>
            </w:tabs>
            <w:spacing w:before="120" w:after="60"/>
          </w:pPr>
          <w:hyperlink w:anchor="_Toc100089" w:history="1">
            <w:r>
              <w:rPr>
                <w:rStyle w:val="Hyperlink"/>
              </w:rPr>
              <w:t>11.5 Visitor Banning</w:t>
            </w:r>
            <w:r>
              <w:tab/>
            </w:r>
            <w:r>
              <w:fldChar w:fldCharType="begin"/>
            </w:r>
            <w:r>
              <w:instrText xml:space="preserve"> PAGEREF _Toc100089 \h </w:instrText>
            </w:r>
            <w:r>
              <w:fldChar w:fldCharType="separate"/>
            </w:r>
            <w:r>
              <w:t>24</w:t>
            </w:r>
            <w:r>
              <w:fldChar w:fldCharType="end"/>
            </w:r>
          </w:hyperlink>
        </w:p>
        <w:p>
          <w:pPr>
            <w:pStyle w:val="11"/>
            <w:ind w:left="360"/>
            <w:tabs>
              <w:tab w:val="right" w:leader="dot" w:pos="9026"/>
            </w:tabs>
            <w:spacing w:before="120" w:after="60"/>
          </w:pPr>
          <w:hyperlink w:anchor="_Toc100090" w:history="1">
            <w:r>
              <w:rPr>
                <w:rStyle w:val="Hyperlink"/>
              </w:rPr>
              <w:t>11.6 Google Authentication and 2FA</w:t>
            </w:r>
            <w:r>
              <w:tab/>
            </w:r>
            <w:r>
              <w:fldChar w:fldCharType="begin"/>
            </w:r>
            <w:r>
              <w:instrText xml:space="preserve"> PAGEREF _Toc100090 \h </w:instrText>
            </w:r>
            <w:r>
              <w:fldChar w:fldCharType="separate"/>
            </w:r>
            <w:r>
              <w:t>24</w:t>
            </w:r>
            <w:r>
              <w:fldChar w:fldCharType="end"/>
            </w:r>
          </w:hyperlink>
        </w:p>
        <w:p>
          <w:pPr>
            <w:pStyle w:val="11"/>
            <w:ind w:left="360"/>
            <w:tabs>
              <w:tab w:val="right" w:leader="dot" w:pos="9026"/>
            </w:tabs>
            <w:spacing w:before="120" w:after="60"/>
          </w:pPr>
          <w:hyperlink w:anchor="_Toc100091" w:history="1">
            <w:r>
              <w:rPr>
                <w:rStyle w:val="Hyperlink"/>
              </w:rPr>
              <w:t>11.7 Compliance Certifications</w:t>
            </w:r>
            <w:r>
              <w:tab/>
            </w:r>
            <w:r>
              <w:fldChar w:fldCharType="begin"/>
            </w:r>
            <w:r>
              <w:instrText xml:space="preserve"> PAGEREF _Toc100091 \h </w:instrText>
            </w:r>
            <w:r>
              <w:fldChar w:fldCharType="separate"/>
            </w:r>
            <w:r>
              <w:t>25</w:t>
            </w:r>
            <w:r>
              <w:fldChar w:fldCharType="end"/>
            </w:r>
          </w:hyperlink>
        </w:p>
        <w:p>
          <w:pPr>
            <w:pStyle w:val="11"/>
            <w:ind w:left="360"/>
            <w:tabs>
              <w:tab w:val="right" w:leader="dot" w:pos="9026"/>
            </w:tabs>
            <w:spacing w:before="120" w:after="60"/>
          </w:pPr>
          <w:hyperlink w:anchor="_Toc100092" w:history="1">
            <w:r>
              <w:rPr>
                <w:rStyle w:val="Hyperlink"/>
              </w:rPr>
              <w:t>11.8 Single Sign-On (SSO)</w:t>
            </w:r>
            <w:r>
              <w:tab/>
            </w:r>
            <w:r>
              <w:fldChar w:fldCharType="begin"/>
            </w:r>
            <w:r>
              <w:instrText xml:space="preserve"> PAGEREF _Toc100092 \h </w:instrText>
            </w:r>
            <w:r>
              <w:fldChar w:fldCharType="separate"/>
            </w:r>
            <w:r>
              <w:t>25</w:t>
            </w:r>
            <w:r>
              <w:fldChar w:fldCharType="end"/>
            </w:r>
          </w:hyperlink>
        </w:p>
        <w:p>
          <w:pPr>
            <w:pStyle w:val="9"/>
            <w:tabs>
              <w:tab w:val="right" w:leader="dot" w:pos="9026"/>
            </w:tabs>
            <w:spacing w:before="120" w:after="60"/>
          </w:pPr>
          <w:hyperlink w:anchor="_Toc100093" w:history="1">
            <w:r>
              <w:rPr>
                <w:rStyle w:val="Hyperlink"/>
              </w:rPr>
              <w:t>12. APIs and Developer Tools</w:t>
            </w:r>
            <w:r>
              <w:tab/>
            </w:r>
            <w:r>
              <w:fldChar w:fldCharType="begin"/>
            </w:r>
            <w:r>
              <w:instrText xml:space="preserve"> PAGEREF _Toc100093 \h </w:instrText>
            </w:r>
            <w:r>
              <w:fldChar w:fldCharType="separate"/>
            </w:r>
            <w:r>
              <w:t>25</w:t>
            </w:r>
            <w:r>
              <w:fldChar w:fldCharType="end"/>
            </w:r>
          </w:hyperlink>
        </w:p>
        <w:p>
          <w:pPr>
            <w:pStyle w:val="11"/>
            <w:ind w:left="360"/>
            <w:tabs>
              <w:tab w:val="right" w:leader="dot" w:pos="9026"/>
            </w:tabs>
            <w:spacing w:before="120" w:after="60"/>
          </w:pPr>
          <w:hyperlink w:anchor="_Toc100094" w:history="1">
            <w:r>
              <w:rPr>
                <w:rStyle w:val="Hyperlink"/>
              </w:rPr>
              <w:t>12.1 Customer SDK</w:t>
            </w:r>
            <w:r>
              <w:tab/>
            </w:r>
            <w:r>
              <w:fldChar w:fldCharType="begin"/>
            </w:r>
            <w:r>
              <w:instrText xml:space="preserve"> PAGEREF _Toc100094 \h </w:instrText>
            </w:r>
            <w:r>
              <w:fldChar w:fldCharType="separate"/>
            </w:r>
            <w:r>
              <w:t>25</w:t>
            </w:r>
            <w:r>
              <w:fldChar w:fldCharType="end"/>
            </w:r>
          </w:hyperlink>
        </w:p>
        <w:p>
          <w:pPr>
            <w:pStyle w:val="11"/>
            <w:ind w:left="360"/>
            <w:tabs>
              <w:tab w:val="right" w:leader="dot" w:pos="9026"/>
            </w:tabs>
            <w:spacing w:before="120" w:after="60"/>
          </w:pPr>
          <w:hyperlink w:anchor="_Toc100095" w:history="1">
            <w:r>
              <w:rPr>
                <w:rStyle w:val="Hyperlink"/>
              </w:rPr>
              <w:t>12.2 Webhooks</w:t>
            </w:r>
            <w:r>
              <w:tab/>
            </w:r>
            <w:r>
              <w:fldChar w:fldCharType="begin"/>
            </w:r>
            <w:r>
              <w:instrText xml:space="preserve"> PAGEREF _Toc100095 \h </w:instrText>
            </w:r>
            <w:r>
              <w:fldChar w:fldCharType="separate"/>
            </w:r>
            <w:r>
              <w:t>26</w:t>
            </w:r>
            <w:r>
              <w:fldChar w:fldCharType="end"/>
            </w:r>
          </w:hyperlink>
        </w:p>
        <w:p>
          <w:pPr>
            <w:pStyle w:val="11"/>
            <w:ind w:left="360"/>
            <w:tabs>
              <w:tab w:val="right" w:leader="dot" w:pos="9026"/>
            </w:tabs>
            <w:spacing w:before="120" w:after="60"/>
          </w:pPr>
          <w:hyperlink w:anchor="_Toc100096" w:history="1">
            <w:r>
              <w:rPr>
                <w:rStyle w:val="Hyperlink"/>
              </w:rPr>
              <w:t>12.3 Chat Widget JS API</w:t>
            </w:r>
            <w:r>
              <w:tab/>
            </w:r>
            <w:r>
              <w:fldChar w:fldCharType="begin"/>
            </w:r>
            <w:r>
              <w:instrText xml:space="preserve"> PAGEREF _Toc100096 \h </w:instrText>
            </w:r>
            <w:r>
              <w:fldChar w:fldCharType="separate"/>
            </w:r>
            <w:r>
              <w:t>26</w:t>
            </w:r>
            <w:r>
              <w:fldChar w:fldCharType="end"/>
            </w:r>
          </w:hyperlink>
        </w:p>
        <w:p>
          <w:pPr>
            <w:pStyle w:val="11"/>
            <w:ind w:left="360"/>
            <w:tabs>
              <w:tab w:val="right" w:leader="dot" w:pos="9026"/>
            </w:tabs>
            <w:spacing w:before="120" w:after="60"/>
          </w:pPr>
          <w:hyperlink w:anchor="_Toc100097" w:history="1">
            <w:r>
              <w:rPr>
                <w:rStyle w:val="Hyperlink"/>
              </w:rPr>
              <w:t>12.4 Chat API (REST API)</w:t>
            </w:r>
            <w:r>
              <w:tab/>
            </w:r>
            <w:r>
              <w:fldChar w:fldCharType="begin"/>
            </w:r>
            <w:r>
              <w:instrText xml:space="preserve"> PAGEREF _Toc100097 \h </w:instrText>
            </w:r>
            <w:r>
              <w:fldChar w:fldCharType="separate"/>
            </w:r>
            <w:r>
              <w:t>26</w:t>
            </w:r>
            <w:r>
              <w:fldChar w:fldCharType="end"/>
            </w:r>
          </w:hyperlink>
        </w:p>
        <w:p>
          <w:pPr>
            <w:pStyle w:val="11"/>
            <w:ind w:left="360"/>
            <w:tabs>
              <w:tab w:val="right" w:leader="dot" w:pos="9026"/>
            </w:tabs>
            <w:spacing w:before="120" w:after="60"/>
          </w:pPr>
          <w:hyperlink w:anchor="_Toc100098" w:history="1">
            <w:r>
              <w:rPr>
                <w:rStyle w:val="Hyperlink"/>
              </w:rPr>
              <w:t>12.5 Reports API</w:t>
            </w:r>
            <w:r>
              <w:tab/>
            </w:r>
            <w:r>
              <w:fldChar w:fldCharType="begin"/>
            </w:r>
            <w:r>
              <w:instrText xml:space="preserve"> PAGEREF _Toc100098 \h </w:instrText>
            </w:r>
            <w:r>
              <w:fldChar w:fldCharType="separate"/>
            </w:r>
            <w:r>
              <w:t>26</w:t>
            </w:r>
            <w:r>
              <w:fldChar w:fldCharType="end"/>
            </w:r>
          </w:hyperlink>
        </w:p>
        <w:p>
          <w:pPr>
            <w:pStyle w:val="9"/>
            <w:tabs>
              <w:tab w:val="right" w:leader="dot" w:pos="9026"/>
            </w:tabs>
            <w:spacing w:before="120" w:after="60"/>
          </w:pPr>
          <w:hyperlink w:anchor="_Toc100099" w:history="1">
            <w:r>
              <w:rPr>
                <w:rStyle w:val="Hyperlink"/>
              </w:rPr>
              <w:t>13. Integrations (200+)</w:t>
            </w:r>
            <w:r>
              <w:tab/>
            </w:r>
            <w:r>
              <w:fldChar w:fldCharType="begin"/>
            </w:r>
            <w:r>
              <w:instrText xml:space="preserve"> PAGEREF _Toc100099 \h </w:instrText>
            </w:r>
            <w:r>
              <w:fldChar w:fldCharType="separate"/>
            </w:r>
            <w:r>
              <w:t>27</w:t>
            </w:r>
            <w:r>
              <w:fldChar w:fldCharType="end"/>
            </w:r>
          </w:hyperlink>
        </w:p>
        <w:p>
          <w:pPr>
            <w:pStyle w:val="11"/>
            <w:ind w:left="360"/>
            <w:tabs>
              <w:tab w:val="right" w:leader="dot" w:pos="9026"/>
            </w:tabs>
            <w:spacing w:before="120" w:after="60"/>
          </w:pPr>
          <w:hyperlink w:anchor="_Toc100100" w:history="1">
            <w:r>
              <w:rPr>
                <w:rStyle w:val="Hyperlink"/>
              </w:rPr>
              <w:t>13.1 Ecommerce Integrations</w:t>
            </w:r>
            <w:r>
              <w:tab/>
            </w:r>
            <w:r>
              <w:fldChar w:fldCharType="begin"/>
            </w:r>
            <w:r>
              <w:instrText xml:space="preserve"> PAGEREF _Toc100100 \h </w:instrText>
            </w:r>
            <w:r>
              <w:fldChar w:fldCharType="separate"/>
            </w:r>
            <w:r>
              <w:t>27</w:t>
            </w:r>
            <w:r>
              <w:fldChar w:fldCharType="end"/>
            </w:r>
          </w:hyperlink>
        </w:p>
        <w:p>
          <w:pPr>
            <w:pStyle w:val="11"/>
            <w:ind w:left="360"/>
            <w:tabs>
              <w:tab w:val="right" w:leader="dot" w:pos="9026"/>
            </w:tabs>
            <w:spacing w:before="120" w:after="60"/>
          </w:pPr>
          <w:hyperlink w:anchor="_Toc100101" w:history="1">
            <w:r>
              <w:rPr>
                <w:rStyle w:val="Hyperlink"/>
              </w:rPr>
              <w:t>13.2 Marketing Integrations</w:t>
            </w:r>
            <w:r>
              <w:tab/>
            </w:r>
            <w:r>
              <w:fldChar w:fldCharType="begin"/>
            </w:r>
            <w:r>
              <w:instrText xml:space="preserve"> PAGEREF _Toc100101 \h </w:instrText>
            </w:r>
            <w:r>
              <w:fldChar w:fldCharType="separate"/>
            </w:r>
            <w:r>
              <w:t>28</w:t>
            </w:r>
            <w:r>
              <w:fldChar w:fldCharType="end"/>
            </w:r>
          </w:hyperlink>
        </w:p>
        <w:p>
          <w:pPr>
            <w:pStyle w:val="11"/>
            <w:ind w:left="360"/>
            <w:tabs>
              <w:tab w:val="right" w:leader="dot" w:pos="9026"/>
            </w:tabs>
            <w:spacing w:before="120" w:after="60"/>
          </w:pPr>
          <w:hyperlink w:anchor="_Toc100102" w:history="1">
            <w:r>
              <w:rPr>
                <w:rStyle w:val="Hyperlink"/>
              </w:rPr>
              <w:t>13.3 CRM Integrations</w:t>
            </w:r>
            <w:r>
              <w:tab/>
            </w:r>
            <w:r>
              <w:fldChar w:fldCharType="begin"/>
            </w:r>
            <w:r>
              <w:instrText xml:space="preserve"> PAGEREF _Toc100102 \h </w:instrText>
            </w:r>
            <w:r>
              <w:fldChar w:fldCharType="separate"/>
            </w:r>
            <w:r>
              <w:t>28</w:t>
            </w:r>
            <w:r>
              <w:fldChar w:fldCharType="end"/>
            </w:r>
          </w:hyperlink>
        </w:p>
        <w:p>
          <w:pPr>
            <w:pStyle w:val="11"/>
            <w:ind w:left="360"/>
            <w:tabs>
              <w:tab w:val="right" w:leader="dot" w:pos="9026"/>
            </w:tabs>
            <w:spacing w:before="120" w:after="60"/>
          </w:pPr>
          <w:hyperlink w:anchor="_Toc100103" w:history="1">
            <w:r>
              <w:rPr>
                <w:rStyle w:val="Hyperlink"/>
              </w:rPr>
              <w:t>13.4 Communication Tools</w:t>
            </w:r>
            <w:r>
              <w:tab/>
            </w:r>
            <w:r>
              <w:fldChar w:fldCharType="begin"/>
            </w:r>
            <w:r>
              <w:instrText xml:space="preserve"> PAGEREF _Toc100103 \h </w:instrText>
            </w:r>
            <w:r>
              <w:fldChar w:fldCharType="separate"/>
            </w:r>
            <w:r>
              <w:t>29</w:t>
            </w:r>
            <w:r>
              <w:fldChar w:fldCharType="end"/>
            </w:r>
          </w:hyperlink>
        </w:p>
        <w:p>
          <w:pPr>
            <w:pStyle w:val="11"/>
            <w:ind w:left="360"/>
            <w:tabs>
              <w:tab w:val="right" w:leader="dot" w:pos="9026"/>
            </w:tabs>
            <w:spacing w:before="120" w:after="60"/>
          </w:pPr>
          <w:hyperlink w:anchor="_Toc100104" w:history="1">
            <w:r>
              <w:rPr>
                <w:rStyle w:val="Hyperlink"/>
              </w:rPr>
              <w:t>13.5 HelpDesk Integration</w:t>
            </w:r>
            <w:r>
              <w:tab/>
            </w:r>
            <w:r>
              <w:fldChar w:fldCharType="begin"/>
            </w:r>
            <w:r>
              <w:instrText xml:space="preserve"> PAGEREF _Toc100104 \h </w:instrText>
            </w:r>
            <w:r>
              <w:fldChar w:fldCharType="separate"/>
            </w:r>
            <w:r>
              <w:t>29</w:t>
            </w:r>
            <w:r>
              <w:fldChar w:fldCharType="end"/>
            </w:r>
          </w:hyperlink>
        </w:p>
        <w:p>
          <w:pPr>
            <w:pStyle w:val="11"/>
            <w:ind w:left="360"/>
            <w:tabs>
              <w:tab w:val="right" w:leader="dot" w:pos="9026"/>
            </w:tabs>
            <w:spacing w:before="120" w:after="60"/>
          </w:pPr>
          <w:hyperlink w:anchor="_Toc100105" w:history="1">
            <w:r>
              <w:rPr>
                <w:rStyle w:val="Hyperlink"/>
              </w:rPr>
              <w:t>13.6 Additional Integrations</w:t>
            </w:r>
            <w:r>
              <w:tab/>
            </w:r>
            <w:r>
              <w:fldChar w:fldCharType="begin"/>
            </w:r>
            <w:r>
              <w:instrText xml:space="preserve"> PAGEREF _Toc100105 \h </w:instrText>
            </w:r>
            <w:r>
              <w:fldChar w:fldCharType="separate"/>
            </w:r>
            <w:r>
              <w:t>29</w:t>
            </w:r>
            <w:r>
              <w:fldChar w:fldCharType="end"/>
            </w:r>
          </w:hyperlink>
        </w:p>
        <w:p>
          <w:pPr>
            <w:pStyle w:val="9"/>
            <w:tabs>
              <w:tab w:val="right" w:leader="dot" w:pos="9026"/>
            </w:tabs>
            <w:spacing w:before="120" w:after="60"/>
          </w:pPr>
          <w:hyperlink w:anchor="_Toc100106" w:history="1">
            <w:r>
              <w:rPr>
                <w:rStyle w:val="Hyperlink"/>
              </w:rPr>
              <w:t>14. HelpDesk Features</w:t>
            </w:r>
            <w:r>
              <w:tab/>
            </w:r>
            <w:r>
              <w:fldChar w:fldCharType="begin"/>
            </w:r>
            <w:r>
              <w:instrText xml:space="preserve"> PAGEREF _Toc100106 \h </w:instrText>
            </w:r>
            <w:r>
              <w:fldChar w:fldCharType="separate"/>
            </w:r>
            <w:r>
              <w:t>30</w:t>
            </w:r>
            <w:r>
              <w:fldChar w:fldCharType="end"/>
            </w:r>
          </w:hyperlink>
        </w:p>
        <w:p>
          <w:pPr>
            <w:pStyle w:val="11"/>
            <w:ind w:left="360"/>
            <w:tabs>
              <w:tab w:val="right" w:leader="dot" w:pos="9026"/>
            </w:tabs>
            <w:spacing w:before="120" w:after="60"/>
          </w:pPr>
          <w:hyperlink w:anchor="_Toc100107" w:history="1">
            <w:r>
              <w:rPr>
                <w:rStyle w:val="Hyperlink"/>
              </w:rPr>
              <w:t>14.1 Ticket Management</w:t>
            </w:r>
            <w:r>
              <w:tab/>
            </w:r>
            <w:r>
              <w:fldChar w:fldCharType="begin"/>
            </w:r>
            <w:r>
              <w:instrText xml:space="preserve"> PAGEREF _Toc100107 \h </w:instrText>
            </w:r>
            <w:r>
              <w:fldChar w:fldCharType="separate"/>
            </w:r>
            <w:r>
              <w:t>30</w:t>
            </w:r>
            <w:r>
              <w:fldChar w:fldCharType="end"/>
            </w:r>
          </w:hyperlink>
        </w:p>
        <w:p>
          <w:pPr>
            <w:pStyle w:val="11"/>
            <w:ind w:left="360"/>
            <w:tabs>
              <w:tab w:val="right" w:leader="dot" w:pos="9026"/>
            </w:tabs>
            <w:spacing w:before="120" w:after="60"/>
          </w:pPr>
          <w:hyperlink w:anchor="_Toc100108" w:history="1">
            <w:r>
              <w:rPr>
                <w:rStyle w:val="Hyperlink"/>
              </w:rPr>
              <w:t>14.2 Shared Inbox</w:t>
            </w:r>
            <w:r>
              <w:tab/>
            </w:r>
            <w:r>
              <w:fldChar w:fldCharType="begin"/>
            </w:r>
            <w:r>
              <w:instrText xml:space="preserve"> PAGEREF _Toc100108 \h </w:instrText>
            </w:r>
            <w:r>
              <w:fldChar w:fldCharType="separate"/>
            </w:r>
            <w:r>
              <w:t>30</w:t>
            </w:r>
            <w:r>
              <w:fldChar w:fldCharType="end"/>
            </w:r>
          </w:hyperlink>
        </w:p>
        <w:p>
          <w:pPr>
            <w:pStyle w:val="11"/>
            <w:ind w:left="360"/>
            <w:tabs>
              <w:tab w:val="right" w:leader="dot" w:pos="9026"/>
            </w:tabs>
            <w:spacing w:before="120" w:after="60"/>
          </w:pPr>
          <w:hyperlink w:anchor="_Toc100109" w:history="1">
            <w:r>
              <w:rPr>
                <w:rStyle w:val="Hyperlink"/>
              </w:rPr>
              <w:t>14.3 Ticket Assignment and Routing</w:t>
            </w:r>
            <w:r>
              <w:tab/>
            </w:r>
            <w:r>
              <w:fldChar w:fldCharType="begin"/>
            </w:r>
            <w:r>
              <w:instrText xml:space="preserve"> PAGEREF _Toc100109 \h </w:instrText>
            </w:r>
            <w:r>
              <w:fldChar w:fldCharType="separate"/>
            </w:r>
            <w:r>
              <w:t>30</w:t>
            </w:r>
            <w:r>
              <w:fldChar w:fldCharType="end"/>
            </w:r>
          </w:hyperlink>
        </w:p>
        <w:p>
          <w:pPr>
            <w:pStyle w:val="11"/>
            <w:ind w:left="360"/>
            <w:tabs>
              <w:tab w:val="right" w:leader="dot" w:pos="9026"/>
            </w:tabs>
            <w:spacing w:before="120" w:after="60"/>
          </w:pPr>
          <w:hyperlink w:anchor="_Toc100110" w:history="1">
            <w:r>
              <w:rPr>
                <w:rStyle w:val="Hyperlink"/>
              </w:rPr>
              <w:t>14.4 Internal Notes</w:t>
            </w:r>
            <w:r>
              <w:tab/>
            </w:r>
            <w:r>
              <w:fldChar w:fldCharType="begin"/>
            </w:r>
            <w:r>
              <w:instrText xml:space="preserve"> PAGEREF _Toc100110 \h </w:instrText>
            </w:r>
            <w:r>
              <w:fldChar w:fldCharType="separate"/>
            </w:r>
            <w:r>
              <w:t>31</w:t>
            </w:r>
            <w:r>
              <w:fldChar w:fldCharType="end"/>
            </w:r>
          </w:hyperlink>
        </w:p>
        <w:p>
          <w:pPr>
            <w:pStyle w:val="11"/>
            <w:ind w:left="360"/>
            <w:tabs>
              <w:tab w:val="right" w:leader="dot" w:pos="9026"/>
            </w:tabs>
            <w:spacing w:before="120" w:after="60"/>
          </w:pPr>
          <w:hyperlink w:anchor="_Toc100111" w:history="1">
            <w:r>
              <w:rPr>
                <w:rStyle w:val="Hyperlink"/>
              </w:rPr>
              <w:t>14.5 SLA Management</w:t>
            </w:r>
            <w:r>
              <w:tab/>
            </w:r>
            <w:r>
              <w:fldChar w:fldCharType="begin"/>
            </w:r>
            <w:r>
              <w:instrText xml:space="preserve"> PAGEREF _Toc100111 \h </w:instrText>
            </w:r>
            <w:r>
              <w:fldChar w:fldCharType="separate"/>
            </w:r>
            <w:r>
              <w:t>31</w:t>
            </w:r>
            <w:r>
              <w:fldChar w:fldCharType="end"/>
            </w:r>
          </w:hyperlink>
        </w:p>
        <w:p>
          <w:pPr>
            <w:pStyle w:val="11"/>
            <w:ind w:left="360"/>
            <w:tabs>
              <w:tab w:val="right" w:leader="dot" w:pos="9026"/>
            </w:tabs>
            <w:spacing w:before="120" w:after="60"/>
          </w:pPr>
          <w:hyperlink w:anchor="_Toc100112" w:history="1">
            <w:r>
              <w:rPr>
                <w:rStyle w:val="Hyperlink"/>
              </w:rPr>
              <w:t>14.6 Collision Detection</w:t>
            </w:r>
            <w:r>
              <w:tab/>
            </w:r>
            <w:r>
              <w:fldChar w:fldCharType="begin"/>
            </w:r>
            <w:r>
              <w:instrText xml:space="preserve"> PAGEREF _Toc100112 \h </w:instrText>
            </w:r>
            <w:r>
              <w:fldChar w:fldCharType="separate"/>
            </w:r>
            <w:r>
              <w:t>31</w:t>
            </w:r>
            <w:r>
              <w:fldChar w:fldCharType="end"/>
            </w:r>
          </w:hyperlink>
        </w:p>
        <w:p>
          <w:pPr>
            <w:pStyle w:val="9"/>
            <w:tabs>
              <w:tab w:val="right" w:leader="dot" w:pos="9026"/>
            </w:tabs>
            <w:spacing w:before="120" w:after="60"/>
          </w:pPr>
          <w:hyperlink w:anchor="_Toc100113" w:history="1">
            <w:r>
              <w:rPr>
                <w:rStyle w:val="Hyperlink"/>
              </w:rPr>
              <w:t>15. KnowledgeBase Features</w:t>
            </w:r>
            <w:r>
              <w:tab/>
            </w:r>
            <w:r>
              <w:fldChar w:fldCharType="begin"/>
            </w:r>
            <w:r>
              <w:instrText xml:space="preserve"> PAGEREF _Toc100113 \h </w:instrText>
            </w:r>
            <w:r>
              <w:fldChar w:fldCharType="separate"/>
            </w:r>
            <w:r>
              <w:t>31</w:t>
            </w:r>
            <w:r>
              <w:fldChar w:fldCharType="end"/>
            </w:r>
          </w:hyperlink>
        </w:p>
        <w:p>
          <w:pPr>
            <w:pStyle w:val="11"/>
            <w:ind w:left="360"/>
            <w:tabs>
              <w:tab w:val="right" w:leader="dot" w:pos="9026"/>
            </w:tabs>
            <w:spacing w:before="120" w:after="60"/>
          </w:pPr>
          <w:hyperlink w:anchor="_Toc100114" w:history="1">
            <w:r>
              <w:rPr>
                <w:rStyle w:val="Hyperlink"/>
              </w:rPr>
              <w:t>15.1 Article Management</w:t>
            </w:r>
            <w:r>
              <w:tab/>
            </w:r>
            <w:r>
              <w:fldChar w:fldCharType="begin"/>
            </w:r>
            <w:r>
              <w:instrText xml:space="preserve"> PAGEREF _Toc100114 \h </w:instrText>
            </w:r>
            <w:r>
              <w:fldChar w:fldCharType="separate"/>
            </w:r>
            <w:r>
              <w:t>32</w:t>
            </w:r>
            <w:r>
              <w:fldChar w:fldCharType="end"/>
            </w:r>
          </w:hyperlink>
        </w:p>
        <w:p>
          <w:pPr>
            <w:pStyle w:val="11"/>
            <w:ind w:left="360"/>
            <w:tabs>
              <w:tab w:val="right" w:leader="dot" w:pos="9026"/>
            </w:tabs>
            <w:spacing w:before="120" w:after="60"/>
          </w:pPr>
          <w:hyperlink w:anchor="_Toc100115" w:history="1">
            <w:r>
              <w:rPr>
                <w:rStyle w:val="Hyperlink"/>
              </w:rPr>
              <w:t>15.2 Search Functionality</w:t>
            </w:r>
            <w:r>
              <w:tab/>
            </w:r>
            <w:r>
              <w:fldChar w:fldCharType="begin"/>
            </w:r>
            <w:r>
              <w:instrText xml:space="preserve"> PAGEREF _Toc100115 \h </w:instrText>
            </w:r>
            <w:r>
              <w:fldChar w:fldCharType="separate"/>
            </w:r>
            <w:r>
              <w:t>32</w:t>
            </w:r>
            <w:r>
              <w:fldChar w:fldCharType="end"/>
            </w:r>
          </w:hyperlink>
        </w:p>
        <w:p>
          <w:pPr>
            <w:pStyle w:val="11"/>
            <w:ind w:left="360"/>
            <w:tabs>
              <w:tab w:val="right" w:leader="dot" w:pos="9026"/>
            </w:tabs>
            <w:spacing w:before="120" w:after="60"/>
          </w:pPr>
          <w:hyperlink w:anchor="_Toc100116" w:history="1">
            <w:r>
              <w:rPr>
                <w:rStyle w:val="Hyperlink"/>
              </w:rPr>
              <w:t>15.3 Widget Integration</w:t>
            </w:r>
            <w:r>
              <w:tab/>
            </w:r>
            <w:r>
              <w:fldChar w:fldCharType="begin"/>
            </w:r>
            <w:r>
              <w:instrText xml:space="preserve"> PAGEREF _Toc100116 \h </w:instrText>
            </w:r>
            <w:r>
              <w:fldChar w:fldCharType="separate"/>
            </w:r>
            <w:r>
              <w:t>32</w:t>
            </w:r>
            <w:r>
              <w:fldChar w:fldCharType="end"/>
            </w:r>
          </w:hyperlink>
        </w:p>
        <w:p>
          <w:pPr>
            <w:pStyle w:val="11"/>
            <w:ind w:left="360"/>
            <w:tabs>
              <w:tab w:val="right" w:leader="dot" w:pos="9026"/>
            </w:tabs>
            <w:spacing w:before="120" w:after="60"/>
          </w:pPr>
          <w:hyperlink w:anchor="_Toc100117" w:history="1">
            <w:r>
              <w:rPr>
                <w:rStyle w:val="Hyperlink"/>
              </w:rPr>
              <w:t>15.4 Analytics</w:t>
            </w:r>
            <w:r>
              <w:tab/>
            </w:r>
            <w:r>
              <w:fldChar w:fldCharType="begin"/>
            </w:r>
            <w:r>
              <w:instrText xml:space="preserve"> PAGEREF _Toc100117 \h </w:instrText>
            </w:r>
            <w:r>
              <w:fldChar w:fldCharType="separate"/>
            </w:r>
            <w:r>
              <w:t>32</w:t>
            </w:r>
            <w:r>
              <w:fldChar w:fldCharType="end"/>
            </w:r>
          </w:hyperlink>
        </w:p>
        <w:p>
          <w:pPr>
            <w:pStyle w:val="9"/>
            <w:tabs>
              <w:tab w:val="right" w:leader="dot" w:pos="9026"/>
            </w:tabs>
            <w:spacing w:before="120" w:after="60"/>
          </w:pPr>
          <w:hyperlink w:anchor="_Toc100118" w:history="1">
            <w:r>
              <w:rPr>
                <w:rStyle w:val="Hyperlink"/>
              </w:rPr>
              <w:t>16. Additional Features</w:t>
            </w:r>
            <w:r>
              <w:tab/>
            </w:r>
            <w:r>
              <w:fldChar w:fldCharType="begin"/>
            </w:r>
            <w:r>
              <w:instrText xml:space="preserve"> PAGEREF _Toc100118 \h </w:instrText>
            </w:r>
            <w:r>
              <w:fldChar w:fldCharType="separate"/>
            </w:r>
            <w:r>
              <w:t>33</w:t>
            </w:r>
            <w:r>
              <w:fldChar w:fldCharType="end"/>
            </w:r>
          </w:hyperlink>
        </w:p>
        <w:p>
          <w:pPr>
            <w:pStyle w:val="11"/>
            <w:ind w:left="360"/>
            <w:tabs>
              <w:tab w:val="right" w:leader="dot" w:pos="9026"/>
            </w:tabs>
            <w:spacing w:before="120" w:after="60"/>
          </w:pPr>
          <w:hyperlink w:anchor="_Toc100119" w:history="1">
            <w:r>
              <w:rPr>
                <w:rStyle w:val="Hyperlink"/>
              </w:rPr>
              <w:t>16. Preview on Website</w:t>
            </w:r>
            <w:r>
              <w:tab/>
            </w:r>
            <w:r>
              <w:fldChar w:fldCharType="begin"/>
            </w:r>
            <w:r>
              <w:instrText xml:space="preserve"> PAGEREF _Toc100119 \h </w:instrText>
            </w:r>
            <w:r>
              <w:fldChar w:fldCharType="separate"/>
            </w:r>
            <w:r>
              <w:t>33</w:t>
            </w:r>
            <w:r>
              <w:fldChar w:fldCharType="end"/>
            </w:r>
          </w:hyperlink>
        </w:p>
        <w:p>
          <w:pPr>
            <w:pStyle w:val="11"/>
            <w:ind w:left="360"/>
            <w:tabs>
              <w:tab w:val="right" w:leader="dot" w:pos="9026"/>
            </w:tabs>
            <w:spacing w:before="120" w:after="60"/>
          </w:pPr>
          <w:hyperlink w:anchor="_Toc100120" w:history="1">
            <w:r>
              <w:rPr>
                <w:rStyle w:val="Hyperlink"/>
              </w:rPr>
              <w:t>16. Visitor Tracking</w:t>
            </w:r>
            <w:r>
              <w:tab/>
            </w:r>
            <w:r>
              <w:fldChar w:fldCharType="begin"/>
            </w:r>
            <w:r>
              <w:instrText xml:space="preserve"> PAGEREF _Toc100120 \h </w:instrText>
            </w:r>
            <w:r>
              <w:fldChar w:fldCharType="separate"/>
            </w:r>
            <w:r>
              <w:t>33</w:t>
            </w:r>
            <w:r>
              <w:fldChar w:fldCharType="end"/>
            </w:r>
          </w:hyperlink>
        </w:p>
        <w:p>
          <w:pPr>
            <w:pStyle w:val="11"/>
            <w:ind w:left="360"/>
            <w:tabs>
              <w:tab w:val="right" w:leader="dot" w:pos="9026"/>
            </w:tabs>
            <w:spacing w:before="120" w:after="60"/>
          </w:pPr>
          <w:hyperlink w:anchor="_Toc100121" w:history="1">
            <w:r>
              <w:rPr>
                <w:rStyle w:val="Hyperlink"/>
              </w:rPr>
              <w:t>16. Product Demo</w:t>
            </w:r>
            <w:r>
              <w:tab/>
            </w:r>
            <w:r>
              <w:fldChar w:fldCharType="begin"/>
            </w:r>
            <w:r>
              <w:instrText xml:space="preserve"> PAGEREF _Toc100121 \h </w:instrText>
            </w:r>
            <w:r>
              <w:fldChar w:fldCharType="separate"/>
            </w:r>
            <w:r>
              <w:t>33</w:t>
            </w:r>
            <w:r>
              <w:fldChar w:fldCharType="end"/>
            </w:r>
          </w:hyperlink>
        </w:p>
        <w:p>
          <w:pPr>
            <w:pStyle w:val="11"/>
            <w:ind w:left="360"/>
            <w:tabs>
              <w:tab w:val="right" w:leader="dot" w:pos="9026"/>
            </w:tabs>
            <w:spacing w:before="120" w:after="60"/>
          </w:pPr>
          <w:hyperlink w:anchor="_Toc100122" w:history="1">
            <w:r>
              <w:rPr>
                <w:rStyle w:val="Hyperlink"/>
              </w:rPr>
              <w:t>16. Partner Program</w:t>
            </w:r>
            <w:r>
              <w:tab/>
            </w:r>
            <w:r>
              <w:fldChar w:fldCharType="begin"/>
            </w:r>
            <w:r>
              <w:instrText xml:space="preserve"> PAGEREF _Toc100122 \h </w:instrText>
            </w:r>
            <w:r>
              <w:fldChar w:fldCharType="separate"/>
            </w:r>
            <w:r>
              <w:t>33</w:t>
            </w:r>
            <w:r>
              <w:fldChar w:fldCharType="end"/>
            </w:r>
          </w:hyperlink>
        </w:p>
        <w:p>
          <w:pPr>
            <w:pStyle w:val="11"/>
            <w:ind w:left="360"/>
            <w:tabs>
              <w:tab w:val="right" w:leader="dot" w:pos="9026"/>
            </w:tabs>
            <w:spacing w:before="120" w:after="60"/>
          </w:pPr>
          <w:hyperlink w:anchor="_Toc100123" w:history="1">
            <w:r>
              <w:rPr>
                <w:rStyle w:val="Hyperlink"/>
              </w:rPr>
              <w:t>16. Professional Services</w:t>
            </w:r>
            <w:r>
              <w:tab/>
            </w:r>
            <w:r>
              <w:fldChar w:fldCharType="begin"/>
            </w:r>
            <w:r>
              <w:instrText xml:space="preserve"> PAGEREF _Toc100123 \h </w:instrText>
            </w:r>
            <w:r>
              <w:fldChar w:fldCharType="separate"/>
            </w:r>
            <w:r>
              <w:t>34</w:t>
            </w:r>
            <w:r>
              <w:fldChar w:fldCharType="end"/>
            </w:r>
          </w:hyperlink>
        </w:p>
        <w:p>
          <w:pPr>
            <w:pStyle w:val="11"/>
            <w:ind w:left="360"/>
            <w:tabs>
              <w:tab w:val="right" w:leader="dot" w:pos="9026"/>
            </w:tabs>
            <w:spacing w:before="120" w:after="60"/>
          </w:pPr>
          <w:hyperlink w:anchor="_Toc100124" w:history="1">
            <w:r>
              <w:rPr>
                <w:rStyle w:val="Hyperlink"/>
              </w:rPr>
              <w:t>16. Customer Service Report</w:t>
            </w:r>
            <w:r>
              <w:tab/>
            </w:r>
            <w:r>
              <w:fldChar w:fldCharType="begin"/>
            </w:r>
            <w:r>
              <w:instrText xml:space="preserve"> PAGEREF _Toc100124 \h </w:instrText>
            </w:r>
            <w:r>
              <w:fldChar w:fldCharType="separate"/>
            </w:r>
            <w:r>
              <w:t>34</w:t>
            </w:r>
            <w:r>
              <w:fldChar w:fldCharType="end"/>
            </w:r>
          </w:hyperlink>
        </w:p>
        <w:p>
          <w:pPr>
            <w:pStyle w:val="11"/>
            <w:ind w:left="360"/>
            <w:tabs>
              <w:tab w:val="right" w:leader="dot" w:pos="9026"/>
            </w:tabs>
            <w:spacing w:before="120" w:after="60"/>
          </w:pPr>
          <w:hyperlink w:anchor="_Toc100125" w:history="1">
            <w:r>
              <w:rPr>
                <w:rStyle w:val="Hyperlink"/>
              </w:rPr>
              <w:t>16. Local Benchmark</w:t>
            </w:r>
            <w:r>
              <w:tab/>
            </w:r>
            <w:r>
              <w:fldChar w:fldCharType="begin"/>
            </w:r>
            <w:r>
              <w:instrText xml:space="preserve"> PAGEREF _Toc100125 \h </w:instrText>
            </w:r>
            <w:r>
              <w:fldChar w:fldCharType="separate"/>
            </w:r>
            <w:r>
              <w:t>34</w:t>
            </w:r>
            <w:r>
              <w:fldChar w:fldCharType="end"/>
            </w:r>
          </w:hyperlink>
        </w:p>
        <w:p>
          <w:pPr>
            <w:pStyle w:val="11"/>
            <w:ind w:left="360"/>
            <w:tabs>
              <w:tab w:val="right" w:leader="dot" w:pos="9026"/>
            </w:tabs>
            <w:spacing w:before="120" w:after="60"/>
          </w:pPr>
          <w:hyperlink w:anchor="_Toc100126" w:history="1">
            <w:r>
              <w:rPr>
                <w:rStyle w:val="Hyperlink"/>
              </w:rPr>
              <w:t>16. Privacy Policy Generator</w:t>
            </w:r>
            <w:r>
              <w:tab/>
            </w:r>
            <w:r>
              <w:fldChar w:fldCharType="begin"/>
            </w:r>
            <w:r>
              <w:instrText xml:space="preserve"> PAGEREF _Toc100126 \h </w:instrText>
            </w:r>
            <w:r>
              <w:fldChar w:fldCharType="separate"/>
            </w:r>
            <w:r>
              <w:t>34</w:t>
            </w:r>
            <w:r>
              <w:fldChar w:fldCharType="end"/>
            </w:r>
          </w:hyperlink>
        </w:p>
        <w:p>
          <w:pPr>
            <w:pStyle w:val="11"/>
            <w:ind w:left="360"/>
            <w:tabs>
              <w:tab w:val="right" w:leader="dot" w:pos="9026"/>
            </w:tabs>
            <w:spacing w:before="120" w:after="60"/>
          </w:pPr>
          <w:hyperlink w:anchor="_Toc100127" w:history="1">
            <w:r>
              <w:rPr>
                <w:rStyle w:val="Hyperlink"/>
              </w:rPr>
              <w:t>16. Typing Speed Test</w:t>
            </w:r>
            <w:r>
              <w:tab/>
            </w:r>
            <w:r>
              <w:fldChar w:fldCharType="begin"/>
            </w:r>
            <w:r>
              <w:instrText xml:space="preserve"> PAGEREF _Toc100127 \h </w:instrText>
            </w:r>
            <w:r>
              <w:fldChar w:fldCharType="separate"/>
            </w:r>
            <w:r>
              <w:t>35</w:t>
            </w:r>
            <w:r>
              <w:fldChar w:fldCharType="end"/>
            </w:r>
          </w:hyperlink>
        </w:p>
        <w:p>
          <w:pPr>
            <w:pStyle w:val="11"/>
            <w:ind w:left="360"/>
            <w:tabs>
              <w:tab w:val="right" w:leader="dot" w:pos="9026"/>
            </w:tabs>
            <w:spacing w:before="120" w:after="60"/>
          </w:pPr>
          <w:hyperlink w:anchor="_Toc100128" w:history="1">
            <w:r>
              <w:rPr>
                <w:rStyle w:val="Hyperlink"/>
              </w:rPr>
              <w:t>16. System Status</w:t>
            </w:r>
            <w:r>
              <w:tab/>
            </w:r>
            <w:r>
              <w:fldChar w:fldCharType="begin"/>
            </w:r>
            <w:r>
              <w:instrText xml:space="preserve"> PAGEREF _Toc100128 \h </w:instrText>
            </w:r>
            <w:r>
              <w:fldChar w:fldCharType="separate"/>
            </w:r>
            <w:r>
              <w:t>35</w:t>
            </w:r>
            <w:r>
              <w:fldChar w:fldCharType="end"/>
            </w:r>
          </w:hyperlink>
        </w:p>
        <w:p>
          <w:pPr>
            <w:pStyle w:val="9"/>
            <w:tabs>
              <w:tab w:val="right" w:leader="dot" w:pos="9026"/>
            </w:tabs>
            <w:spacing w:before="120" w:after="60"/>
          </w:pPr>
          <w:hyperlink w:anchor="_Toc100129" w:history="1">
            <w:r>
              <w:rPr>
                <w:rStyle w:val="Hyperlink"/>
              </w:rPr>
              <w:t>17. Feature Summary Table</w:t>
            </w:r>
            <w:r>
              <w:tab/>
            </w:r>
            <w:r>
              <w:fldChar w:fldCharType="begin"/>
            </w:r>
            <w:r>
              <w:instrText xml:space="preserve"> PAGEREF _Toc100129 \h </w:instrText>
            </w:r>
            <w:r>
              <w:fldChar w:fldCharType="separate"/>
            </w:r>
            <w:r>
              <w:t>35</w:t>
            </w:r>
            <w:r>
              <w:fldChar w:fldCharType="end"/>
            </w:r>
          </w:hyperlink>
        </w:p>
        <w:p>
          <w:r>
            <w:fldChar w:fldCharType="end"/>
          </w:r>
        </w:p>
      </w:sdtContent>
    </w:sdt>
    <w:p>
      <w:pPr>
        <w:spacing w:before="200"/>
      </w:pPr>
      <w:r>
        <w:rPr>
          <w:i/>
          <w:iCs/>
          <w:color w:val="6878A0"/>
          <w:sz w:val="18"/>
          <w:szCs w:val="18"/>
        </w:rPr>
        <w:t xml:space="preserve">Note: Right-click the TOC and select 'Update Field' to refresh page numbers.</w:t>
      </w:r>
    </w:p>
    <w:p>
      <w:r>
        <w:br w:type="page"/>
      </w:r>
    </w:p>
    <w:p>
      <w:pPr>
        <w:pStyle w:val="Heading1"/>
        <w:spacing w:after="200" w:before="480"/>
      </w:pPr>
      <w:bookmarkStart w:id="100000" w:name="_Toc100000"/>
      <w:r>
        <w:rPr>
          <w:rFonts w:ascii="Calibri"/>
          <w:b/>
          <w:bCs/>
          <w:color w:val="0A1628"/>
          <w:sz w:val="36"/>
          <w:szCs w:val="36"/>
        </w:rPr>
        <w:t xml:space="preserve">1. Executive Summary</w:t>
      </w:r>
      <w:bookmarkEnd w:id="100000"/>
    </w:p>
    <w:p>
      <w:pPr>
        <w:spacing w:after="120" w:line="312"/>
        <w:jc w:val="both"/>
      </w:pPr>
      <w:r>
        <w:rPr>
          <w:rFonts w:ascii="Calibri"/>
          <w:color w:val="1A2B40"/>
          <w:sz w:val="22"/>
          <w:szCs w:val="22"/>
        </w:rPr>
        <w:t xml:space="preserve">LiveChat.com, developed by Text, Inc. (formerly Text S.A.), is one of the world's leading customer service and live chat platforms, trusted by over 35,000 companies across 150+ countries. The platform provides a comprehensive AI-powered customer communication suite that spans real-time chat, help desk ticketing, chatbot automation, knowledge base management, and deep analytics. With an impressive aggregate rating of 4.6 out of 5 from over 1,675 reviews, LiveChat has established itself as the go-to solution for businesses ranging from small ecommerce stores to enterprise-level B2B SaaS companies.</w:t>
      </w:r>
    </w:p>
    <w:p>
      <w:pPr>
        <w:spacing w:after="120" w:line="312"/>
        <w:jc w:val="both"/>
      </w:pPr>
      <w:r>
        <w:rPr>
          <w:rFonts w:ascii="Calibri"/>
          <w:color w:val="1A2B40"/>
          <w:sz w:val="22"/>
          <w:szCs w:val="22"/>
        </w:rPr>
        <w:t xml:space="preserve">The platform is designed with three primary business objectives in mind: increasing online sales through proactive engagement, improving customer satisfaction via real-time support, and automating routine customer service operations through AI-driven chatbots and copilot features. LiveChat achieves these goals through a rich ecosystem of messaging channels, deep customization capabilities, robust security and compliance certifications, and over 200 native integrations with popular business tools.</w:t>
      </w:r>
    </w:p>
    <w:p>
      <w:pPr>
        <w:spacing w:after="120" w:line="312"/>
        <w:jc w:val="both"/>
      </w:pPr>
      <w:r>
        <w:rPr>
          <w:rFonts w:ascii="Calibri"/>
          <w:color w:val="1A2B40"/>
          <w:sz w:val="22"/>
          <w:szCs w:val="22"/>
        </w:rPr>
        <w:t xml:space="preserve">This documentation serves as a complete, exhaustive reference for replicating every feature of LiveChat.com. It covers the core LiveChat product, the ChatBot builder, HelpDesk ticketing system, KnowledgeBase self-service portal, and the newer Text AI platform. Each feature is documented with its purpose, key capabilities, and implementation considerations for building a faithful clone.</w:t>
      </w:r>
    </w:p>
    <w:p>
      <w:pPr>
        <w:pStyle w:val="Heading1"/>
        <w:spacing w:after="200" w:before="480"/>
      </w:pPr>
      <w:bookmarkStart w:id="100001" w:name="_Toc100001"/>
      <w:r>
        <w:rPr>
          <w:rFonts w:ascii="Calibri"/>
          <w:b/>
          <w:bCs/>
          <w:color w:val="0A1628"/>
          <w:sz w:val="36"/>
          <w:szCs w:val="36"/>
        </w:rPr>
        <w:t xml:space="preserve">2. Product Overview</w:t>
      </w:r>
      <w:bookmarkEnd w:id="100001"/>
    </w:p>
    <w:p>
      <w:pPr>
        <w:spacing w:after="120" w:line="312"/>
        <w:jc w:val="both"/>
      </w:pPr>
      <w:r>
        <w:rPr>
          <w:rFonts w:ascii="Calibri"/>
          <w:color w:val="1A2B40"/>
          <w:sz w:val="22"/>
          <w:szCs w:val="22"/>
        </w:rPr>
        <w:t xml:space="preserve">LiveChat is part of the Text platform ecosystem, which includes multiple complementary products. Together, these products form a complete AI-powered customer service suite. Understanding the full product portfolio is essential for building a comprehensive clone.</w:t>
      </w:r>
    </w:p>
    <w:p>
      <w:pPr>
        <w:pStyle w:val="Heading2"/>
        <w:spacing w:after="160" w:before="360"/>
      </w:pPr>
      <w:bookmarkStart w:id="100002" w:name="_Toc100002"/>
      <w:r>
        <w:rPr>
          <w:rFonts w:ascii="Calibri"/>
          <w:b/>
          <w:bCs/>
          <w:color w:val="0A1628"/>
          <w:sz w:val="30"/>
          <w:szCs w:val="30"/>
        </w:rPr>
        <w:t xml:space="preserve">2.1 Text Platform Products</w:t>
      </w:r>
      <w:bookmarkEnd w:id="100002"/>
    </w:p>
    <w:p>
      <w:pPr>
        <w:pStyle w:val="Heading3"/>
        <w:spacing w:after="120" w:before="240"/>
      </w:pPr>
      <w:bookmarkStart w:id="100003" w:name="_Toc100003"/>
      <w:r>
        <w:rPr>
          <w:rFonts w:ascii="Calibri"/>
          <w:b/>
          <w:bCs/>
          <w:color w:val="1A2B40"/>
          <w:sz w:val="26"/>
          <w:szCs w:val="26"/>
        </w:rPr>
        <w:t xml:space="preserve">2.1.1 LiveChat (Core Product)</w:t>
      </w:r>
      <w:bookmarkEnd w:id="100003"/>
    </w:p>
    <w:p>
      <w:pPr>
        <w:spacing w:after="120" w:line="312"/>
        <w:jc w:val="both"/>
      </w:pPr>
      <w:r>
        <w:rPr>
          <w:rFonts w:ascii="Calibri"/>
          <w:color w:val="1A2B40"/>
          <w:sz w:val="22"/>
          <w:szCs w:val="22"/>
        </w:rPr>
        <w:t xml:space="preserve">The flagship real-time live chat product for websites. It provides an embeddable chat widget for customer websites, a full-featured agent application accessible via web browser, Windows, macOS, Android, and iOS, and a comprehensive set of tools for managing customer conversations across multiple channels. LiveChat focuses on real-time communication, sales enablement, and customer satisfaction through instant support delivery.</w:t>
      </w:r>
    </w:p>
    <w:p>
      <w:pPr>
        <w:pStyle w:val="Heading3"/>
        <w:spacing w:after="120" w:before="240"/>
      </w:pPr>
      <w:bookmarkStart w:id="100004" w:name="_Toc100004"/>
      <w:r>
        <w:rPr>
          <w:rFonts w:ascii="Calibri"/>
          <w:b/>
          <w:bCs/>
          <w:color w:val="1A2B40"/>
          <w:sz w:val="26"/>
          <w:szCs w:val="26"/>
        </w:rPr>
        <w:t xml:space="preserve">2.1.2 ChatBot</w:t>
      </w:r>
      <w:bookmarkEnd w:id="100004"/>
    </w:p>
    <w:p>
      <w:pPr>
        <w:spacing w:after="120" w:line="312"/>
        <w:jc w:val="both"/>
      </w:pPr>
      <w:r>
        <w:rPr>
          <w:rFonts w:ascii="Calibri"/>
          <w:color w:val="1A2B40"/>
          <w:sz w:val="22"/>
          <w:szCs w:val="22"/>
        </w:rPr>
        <w:t xml:space="preserve">An AI-powered chatbot builder that integrates directly with LiveChat. It enables businesses to create automated conversation flows, handle routine customer inquiries without human intervention, qualify leads, and provide 24/7 support. ChatBot can be configured with decision trees, AI responses, and seamless handoff to human agents when needed. The platform supports integration with external AI models and custom data sources for intelligent, context-aware responses.</w:t>
      </w:r>
    </w:p>
    <w:p>
      <w:pPr>
        <w:pStyle w:val="Heading3"/>
        <w:spacing w:after="120" w:before="240"/>
      </w:pPr>
      <w:bookmarkStart w:id="100005" w:name="_Toc100005"/>
      <w:r>
        <w:rPr>
          <w:rFonts w:ascii="Calibri"/>
          <w:b/>
          <w:bCs/>
          <w:color w:val="1A2B40"/>
          <w:sz w:val="26"/>
          <w:szCs w:val="26"/>
        </w:rPr>
        <w:t xml:space="preserve">2.1.3 HelpDesk</w:t>
      </w:r>
      <w:bookmarkEnd w:id="100005"/>
    </w:p>
    <w:p>
      <w:pPr>
        <w:spacing w:after="120" w:line="312"/>
        <w:jc w:val="both"/>
      </w:pPr>
      <w:r>
        <w:rPr>
          <w:rFonts w:ascii="Calibri"/>
          <w:color w:val="1A2B40"/>
          <w:sz w:val="22"/>
          <w:szCs w:val="22"/>
        </w:rPr>
        <w:t xml:space="preserve">A complete ticketing system for handling asynchronous customer support. HelpDesk provides shared inboxes, ticket assignment and routing, SLA management, internal notes, collision detection, and collaborative tools. It seamlessly integrates with LiveChat, allowing chat conversations that cannot be resolved in real-time to be automatically converted into tickets for follow-up.</w:t>
      </w:r>
    </w:p>
    <w:p>
      <w:pPr>
        <w:pStyle w:val="Heading3"/>
        <w:spacing w:after="120" w:before="240"/>
      </w:pPr>
      <w:bookmarkStart w:id="100006" w:name="_Toc100006"/>
      <w:r>
        <w:rPr>
          <w:rFonts w:ascii="Calibri"/>
          <w:b/>
          <w:bCs/>
          <w:color w:val="1A2B40"/>
          <w:sz w:val="26"/>
          <w:szCs w:val="26"/>
        </w:rPr>
        <w:t xml:space="preserve">2.1.4 KnowledgeBase</w:t>
      </w:r>
      <w:bookmarkEnd w:id="100006"/>
    </w:p>
    <w:p>
      <w:pPr>
        <w:spacing w:after="120" w:line="312"/>
        <w:jc w:val="both"/>
      </w:pPr>
      <w:r>
        <w:rPr>
          <w:rFonts w:ascii="Calibri"/>
          <w:color w:val="1A2B40"/>
          <w:sz w:val="22"/>
          <w:szCs w:val="22"/>
        </w:rPr>
        <w:t xml:space="preserve">A self-service portal that helps customers find answers to their questions without contacting support. It integrates directly with the LiveChat chat widget, allowing customers to search for articles and find solutions before starting a chat conversation. This reduces ticket volume and improves customer satisfaction by providing instant answers.</w:t>
      </w:r>
    </w:p>
    <w:p>
      <w:pPr>
        <w:pStyle w:val="Heading3"/>
        <w:spacing w:after="120" w:before="240"/>
      </w:pPr>
      <w:bookmarkStart w:id="100007" w:name="_Toc100007"/>
      <w:r>
        <w:rPr>
          <w:rFonts w:ascii="Calibri"/>
          <w:b/>
          <w:bCs/>
          <w:color w:val="1A2B40"/>
          <w:sz w:val="26"/>
          <w:szCs w:val="26"/>
        </w:rPr>
        <w:t xml:space="preserve">2.1.5 Text (AI Platform)</w:t>
      </w:r>
      <w:bookmarkEnd w:id="100007"/>
    </w:p>
    <w:p>
      <w:pPr>
        <w:spacing w:after="120" w:line="312"/>
        <w:jc w:val="both"/>
      </w:pPr>
      <w:r>
        <w:rPr>
          <w:rFonts w:ascii="Calibri"/>
          <w:color w:val="1A2B40"/>
          <w:sz w:val="22"/>
          <w:szCs w:val="22"/>
        </w:rPr>
        <w:t xml:space="preserve">The newest addition to the Text ecosystem, providing an AI-powered support suite that drives revenue. Text aggregates capabilities from all other products and adds advanced AI features, including an AI copilot for agents, intelligent suggestion systems, and automated workflows. It represents the next generation of the Text platform vision.</w:t>
      </w:r>
    </w:p>
    <w:p>
      <w:pPr>
        <w:pStyle w:val="Heading3"/>
        <w:spacing w:after="120" w:before="240"/>
      </w:pPr>
      <w:bookmarkStart w:id="100008" w:name="_Toc100008"/>
      <w:r>
        <w:rPr>
          <w:rFonts w:ascii="Calibri"/>
          <w:b/>
          <w:bCs/>
          <w:color w:val="1A2B40"/>
          <w:sz w:val="26"/>
          <w:szCs w:val="26"/>
        </w:rPr>
        <w:t xml:space="preserve">2.1.6 AgentTrainer</w:t>
      </w:r>
      <w:bookmarkEnd w:id="100008"/>
    </w:p>
    <w:p>
      <w:pPr>
        <w:spacing w:after="120" w:line="312"/>
        <w:jc w:val="both"/>
      </w:pPr>
      <w:r>
        <w:rPr>
          <w:rFonts w:ascii="Calibri"/>
          <w:color w:val="1A2B40"/>
          <w:sz w:val="22"/>
          <w:szCs w:val="22"/>
        </w:rPr>
        <w:t xml:space="preserve">An AI training tool that allows businesses to train their chatbot and AI agents using their own data sources. This ensures the AI understands the specific products, services, and policies of the business, providing more accurate and relevant responses to customer inquiries.</w:t>
      </w:r>
    </w:p>
    <w:p>
      <w:pPr>
        <w:pStyle w:val="Heading2"/>
        <w:spacing w:after="160" w:before="360"/>
      </w:pPr>
      <w:bookmarkStart w:id="100009" w:name="_Toc100009"/>
      <w:r>
        <w:rPr>
          <w:rFonts w:ascii="Calibri"/>
          <w:b/>
          <w:bCs/>
          <w:color w:val="0A1628"/>
          <w:sz w:val="30"/>
          <w:szCs w:val="30"/>
        </w:rPr>
        <w:t xml:space="preserve">2.2 Pricing Tiers</w:t>
      </w:r>
      <w:bookmarkEnd w:id="100009"/>
    </w:p>
    <w:p>
      <w:pPr>
        <w:spacing w:after="120" w:line="312"/>
        <w:jc w:val="both"/>
      </w:pPr>
      <w:r>
        <w:rPr>
          <w:rFonts w:ascii="Calibri"/>
          <w:color w:val="1A2B40"/>
          <w:sz w:val="22"/>
          <w:szCs w:val="22"/>
        </w:rPr>
        <w:t xml:space="preserve">LiveChat offers a freemium model with a 14-day free trial requiring no credit card. The platform then provides multiple paid tiers ranging from entry-level plans to enterprise-grade offerings. Each tier unlocks progressively more advanced features including additional seats, premium integrations, advanced analytics, and dedicated support. Pricing ranges from free up to premium enterprise plans, making it accessible to businesses of all sizes.</w:t>
      </w:r>
    </w:p>
    <w:p>
      <w:pPr>
        <w:pStyle w:val="Heading2"/>
        <w:spacing w:after="160" w:before="360"/>
      </w:pPr>
      <w:bookmarkStart w:id="100010" w:name="_Toc100010"/>
      <w:r>
        <w:rPr>
          <w:rFonts w:ascii="Calibri"/>
          <w:b/>
          <w:bCs/>
          <w:color w:val="0A1628"/>
          <w:sz w:val="30"/>
          <w:szCs w:val="30"/>
        </w:rPr>
        <w:t xml:space="preserve">2.3 Supported Platforms</w:t>
      </w:r>
      <w:bookmarkEnd w:id="100010"/>
    </w:p>
    <w:p>
      <w:pPr>
        <w:spacing w:after="120" w:line="312"/>
        <w:jc w:val="both"/>
      </w:pPr>
      <w:r>
        <w:rPr>
          <w:rFonts w:ascii="Calibri"/>
          <w:color w:val="1A2B40"/>
          <w:sz w:val="22"/>
          <w:szCs w:val="22"/>
        </w:rPr>
        <w:t xml:space="preserve">The LiveChat application is available across five platforms to ensure agents can provide support from anywhere:</w:t>
      </w:r>
    </w:p>
    <w:p>
      <w:pPr>
        <w:pStyle w:val="ListParagraph"/>
        <w:numPr>
          <w:ilvl w:val="0"/>
          <w:numId w:val="1"/>
        </w:numPr>
        <w:spacing w:after="60" w:line="312"/>
      </w:pPr>
      <w:r>
        <w:rPr>
          <w:rFonts w:ascii="Calibri"/>
          <w:color w:val="1A2B40"/>
          <w:sz w:val="22"/>
          <w:szCs w:val="22"/>
        </w:rPr>
        <w:t xml:space="preserve">Web Browser (fully featured web application)</w:t>
      </w:r>
    </w:p>
    <w:p>
      <w:pPr>
        <w:pStyle w:val="ListParagraph"/>
        <w:numPr>
          <w:ilvl w:val="0"/>
          <w:numId w:val="1"/>
        </w:numPr>
        <w:spacing w:after="60" w:line="312"/>
      </w:pPr>
      <w:r>
        <w:rPr>
          <w:rFonts w:ascii="Calibri"/>
          <w:color w:val="1A2B40"/>
          <w:sz w:val="22"/>
          <w:szCs w:val="22"/>
        </w:rPr>
        <w:t xml:space="preserve">Windows Desktop Application</w:t>
      </w:r>
    </w:p>
    <w:p>
      <w:pPr>
        <w:pStyle w:val="ListParagraph"/>
        <w:numPr>
          <w:ilvl w:val="0"/>
          <w:numId w:val="1"/>
        </w:numPr>
        <w:spacing w:after="60" w:line="312"/>
      </w:pPr>
      <w:r>
        <w:rPr>
          <w:rFonts w:ascii="Calibri"/>
          <w:color w:val="1A2B40"/>
          <w:sz w:val="22"/>
          <w:szCs w:val="22"/>
        </w:rPr>
        <w:t xml:space="preserve">macOS Desktop Application</w:t>
      </w:r>
    </w:p>
    <w:p>
      <w:pPr>
        <w:pStyle w:val="ListParagraph"/>
        <w:numPr>
          <w:ilvl w:val="0"/>
          <w:numId w:val="1"/>
        </w:numPr>
        <w:spacing w:after="60" w:line="312"/>
      </w:pPr>
      <w:r>
        <w:rPr>
          <w:rFonts w:ascii="Calibri"/>
          <w:color w:val="1A2B40"/>
          <w:sz w:val="22"/>
          <w:szCs w:val="22"/>
        </w:rPr>
        <w:t xml:space="preserve">Android Mobile Application</w:t>
      </w:r>
    </w:p>
    <w:p>
      <w:pPr>
        <w:pStyle w:val="ListParagraph"/>
        <w:numPr>
          <w:ilvl w:val="0"/>
          <w:numId w:val="1"/>
        </w:numPr>
        <w:spacing w:after="60" w:line="312"/>
      </w:pPr>
      <w:r>
        <w:rPr>
          <w:rFonts w:ascii="Calibri"/>
          <w:color w:val="1A2B40"/>
          <w:sz w:val="22"/>
          <w:szCs w:val="22"/>
        </w:rPr>
        <w:t xml:space="preserve">iOS Mobile Application</w:t>
      </w:r>
    </w:p>
    <w:p>
      <w:pPr>
        <w:spacing w:after="120" w:line="312"/>
        <w:jc w:val="both"/>
      </w:pPr>
      <w:r>
        <w:rPr>
          <w:rFonts w:ascii="Calibri"/>
          <w:color w:val="1A2B40"/>
          <w:sz w:val="22"/>
          <w:szCs w:val="22"/>
        </w:rPr>
        <w:t xml:space="preserve">All platforms share a consistent feature set, with mobile apps optimized for on-the-go support and notifications.</w:t>
      </w:r>
    </w:p>
    <w:p>
      <w:pPr>
        <w:pStyle w:val="Heading1"/>
        <w:spacing w:after="200" w:before="480"/>
      </w:pPr>
      <w:bookmarkStart w:id="100011" w:name="_Toc100011"/>
      <w:r>
        <w:rPr>
          <w:rFonts w:ascii="Calibri"/>
          <w:b/>
          <w:bCs/>
          <w:color w:val="0A1628"/>
          <w:sz w:val="36"/>
          <w:szCs w:val="36"/>
        </w:rPr>
        <w:t xml:space="preserve">3. Chat Tools</w:t>
      </w:r>
      <w:bookmarkEnd w:id="100011"/>
    </w:p>
    <w:p>
      <w:pPr>
        <w:spacing w:after="120" w:line="312"/>
        <w:jc w:val="both"/>
      </w:pPr>
      <w:r>
        <w:rPr>
          <w:rFonts w:ascii="Calibri"/>
          <w:color w:val="1A2B40"/>
          <w:sz w:val="22"/>
          <w:szCs w:val="22"/>
        </w:rPr>
        <w:t xml:space="preserve">Chat tools are the fundamental building blocks of the LiveChat agent experience. These features equip agents with everything they need to provide efficient, professional, and personalized customer support during live conversations.</w:t>
      </w:r>
    </w:p>
    <w:p>
      <w:pPr>
        <w:pStyle w:val="Heading2"/>
        <w:spacing w:after="160" w:before="360"/>
      </w:pPr>
      <w:bookmarkStart w:id="100012" w:name="_Toc100012"/>
      <w:r>
        <w:rPr>
          <w:rFonts w:ascii="Calibri"/>
          <w:b/>
          <w:bCs/>
          <w:color w:val="0A1628"/>
          <w:sz w:val="30"/>
          <w:szCs w:val="30"/>
        </w:rPr>
        <w:t xml:space="preserve">3.1 Message Sneak Peek</w:t>
      </w:r>
      <w:bookmarkEnd w:id="100012"/>
    </w:p>
    <w:p>
      <w:pPr>
        <w:spacing w:after="120" w:line="312"/>
        <w:jc w:val="both"/>
      </w:pPr>
      <w:r>
        <w:rPr>
          <w:rFonts w:ascii="Calibri"/>
          <w:color w:val="1A2B40"/>
          <w:sz w:val="22"/>
          <w:szCs w:val="22"/>
        </w:rPr>
        <w:t xml:space="preserve">Allows agents to see what the customer is typing in real-time before they send the message. This proactive feature enables agents to prepare their response while the customer is still composing their message, significantly reducing first-response times. The sneak peek works by displaying the in-progress text in a preview area within the chat interface, giving agents a head start on formulating their reply. This feature is particularly valuable for complex inquiries where the agent may need to look up product information or consult internal resources.</w:t>
      </w:r>
    </w:p>
    <w:p>
      <w:pPr>
        <w:pStyle w:val="Heading2"/>
        <w:spacing w:after="160" w:before="360"/>
      </w:pPr>
      <w:bookmarkStart w:id="100013" w:name="_Toc100013"/>
      <w:r>
        <w:rPr>
          <w:rFonts w:ascii="Calibri"/>
          <w:b/>
          <w:bCs/>
          <w:color w:val="0A1628"/>
          <w:sz w:val="30"/>
          <w:szCs w:val="30"/>
        </w:rPr>
        <w:t xml:space="preserve">3.2 Canned Responses</w:t>
      </w:r>
      <w:bookmarkEnd w:id="100013"/>
    </w:p>
    <w:p>
      <w:pPr>
        <w:spacing w:after="120" w:line="312"/>
        <w:jc w:val="both"/>
      </w:pPr>
      <w:r>
        <w:rPr>
          <w:rFonts w:ascii="Calibri"/>
          <w:color w:val="1A2B40"/>
          <w:sz w:val="22"/>
          <w:szCs w:val="22"/>
        </w:rPr>
        <w:t xml:space="preserve">Pre-written message templates that agents can insert into chat conversations with a single click or keyboard shortcut. Canned responses allow support teams to standardize answers to frequently asked questions, maintain consistent messaging quality, and dramatically speed up response times. Agents can create personal canned responses as well as use team-wide shared templates. They can include dynamic variables such as the customer's name, the page they are currently browsing, or order details from ecommerce integrations. Canned responses support rich text formatting, links, and even file attachments, making them versatile for everything from simple greetings to complex troubleshooting guides.</w:t>
      </w:r>
    </w:p>
    <w:p>
      <w:pPr>
        <w:pStyle w:val="Heading2"/>
        <w:spacing w:after="160" w:before="360"/>
      </w:pPr>
      <w:bookmarkStart w:id="100014" w:name="_Toc100014"/>
      <w:r>
        <w:rPr>
          <w:rFonts w:ascii="Calibri"/>
          <w:b/>
          <w:bCs/>
          <w:color w:val="0A1628"/>
          <w:sz w:val="30"/>
          <w:szCs w:val="30"/>
        </w:rPr>
        <w:t xml:space="preserve">3.3 Chat Tags</w:t>
      </w:r>
      <w:bookmarkEnd w:id="100014"/>
    </w:p>
    <w:p>
      <w:pPr>
        <w:spacing w:after="120" w:line="312"/>
        <w:jc w:val="both"/>
      </w:pPr>
      <w:r>
        <w:rPr>
          <w:rFonts w:ascii="Calibri"/>
          <w:color w:val="1A2B40"/>
          <w:sz w:val="22"/>
          <w:szCs w:val="22"/>
        </w:rPr>
        <w:t xml:space="preserve">A categorization system that allows agents to label and organize conversations with custom tags. Tags serve multiple purposes: they help categorize conversations for reporting, enable routing based on conversation topic, facilitate team collaboration by indicating chat status or priority, and support post-conversation analysis. Tags can be applied manually by agents or automatically through predefined rules. Common tag categories include issue type (billing, technical, sales), priority level (urgent, normal, low), customer segment, and resolution status. The system supports an unlimited number of custom tags and provides filtering capabilities to quickly find conversations by tag.</w:t>
      </w:r>
    </w:p>
    <w:p>
      <w:pPr>
        <w:pStyle w:val="Heading2"/>
        <w:spacing w:after="160" w:before="360"/>
      </w:pPr>
      <w:bookmarkStart w:id="100015" w:name="_Toc100015"/>
      <w:r>
        <w:rPr>
          <w:rFonts w:ascii="Calibri"/>
          <w:b/>
          <w:bCs/>
          <w:color w:val="0A1628"/>
          <w:sz w:val="30"/>
          <w:szCs w:val="30"/>
        </w:rPr>
        <w:t xml:space="preserve">3.4 Rich Messages</w:t>
      </w:r>
      <w:bookmarkEnd w:id="100015"/>
    </w:p>
    <w:p>
      <w:pPr>
        <w:spacing w:after="120" w:line="312"/>
        <w:jc w:val="both"/>
      </w:pPr>
      <w:r>
        <w:rPr>
          <w:rFonts w:ascii="Calibri"/>
          <w:color w:val="1A2B40"/>
          <w:sz w:val="22"/>
          <w:szCs w:val="22"/>
        </w:rPr>
        <w:t xml:space="preserve">Enhanced message types that go beyond plain text, enabling agents to share structured, visually rich content within chat conversations. Rich messages include interactive cards, product showcases with images and pricing, structured quick-reply buttons, carousel message formats for browsing multiple items, event listings, and embedded media content. These rich message types are particularly powerful for ecommerce use cases, where agents can share product information directly in the chat without requiring the customer to navigate away from the conversation. Rich messages support action buttons that can trigger specific workflows such as adding an item to cart, booking an appointment, or opening a knowledge base article.</w:t>
      </w:r>
    </w:p>
    <w:p>
      <w:pPr>
        <w:pStyle w:val="Heading2"/>
        <w:spacing w:after="160" w:before="360"/>
      </w:pPr>
      <w:bookmarkStart w:id="100016" w:name="_Toc100016"/>
      <w:r>
        <w:rPr>
          <w:rFonts w:ascii="Calibri"/>
          <w:b/>
          <w:bCs/>
          <w:color w:val="0A1628"/>
          <w:sz w:val="30"/>
          <w:szCs w:val="30"/>
        </w:rPr>
        <w:t xml:space="preserve">3.5 File Sharing</w:t>
      </w:r>
      <w:bookmarkEnd w:id="100016"/>
    </w:p>
    <w:p>
      <w:pPr>
        <w:spacing w:after="120" w:line="312"/>
        <w:jc w:val="both"/>
      </w:pPr>
      <w:r>
        <w:rPr>
          <w:rFonts w:ascii="Calibri"/>
          <w:color w:val="1A2B40"/>
          <w:sz w:val="22"/>
          <w:szCs w:val="22"/>
        </w:rPr>
        <w:t xml:space="preserve">Enables both agents and customers to share files directly within the chat interface. Supported file types include images, documents, PDFs, spreadsheets, and more. File sharing is essential for support scenarios where customers need to share screenshots of errors, receipts, or product photos, and agents need to send instruction manuals, forms, or contract documents. The system includes file size limits and supports drag-and-drop uploading for convenience. Shared files are automatically archived with the chat conversation for future reference.</w:t>
      </w:r>
    </w:p>
    <w:p>
      <w:pPr>
        <w:pStyle w:val="Heading2"/>
        <w:spacing w:after="160" w:before="360"/>
      </w:pPr>
      <w:bookmarkStart w:id="100017" w:name="_Toc100017"/>
      <w:r>
        <w:rPr>
          <w:rFonts w:ascii="Calibri"/>
          <w:b/>
          <w:bCs/>
          <w:color w:val="0A1628"/>
          <w:sz w:val="30"/>
          <w:szCs w:val="30"/>
        </w:rPr>
        <w:t xml:space="preserve">3.6 Chat Archives</w:t>
      </w:r>
      <w:bookmarkEnd w:id="100017"/>
    </w:p>
    <w:p>
      <w:pPr>
        <w:spacing w:after="120" w:line="312"/>
        <w:jc w:val="both"/>
      </w:pPr>
      <w:r>
        <w:rPr>
          <w:rFonts w:ascii="Calibri"/>
          <w:color w:val="1A2B40"/>
          <w:sz w:val="22"/>
          <w:szCs w:val="22"/>
        </w:rPr>
        <w:t xml:space="preserve">Complete storage and retrieval of all past chat conversations. Archives are fully searchable, allowing agents and supervisors to look up previous customer interactions, track issue history, and reference past solutions. The archive system maintains the full conversation context including messages, files shared, metadata (duration, agent involved, tags), and customer information. This feature is critical for maintaining continuity in customer relationships, especially when the same customer returns with a follow-up question. Archives also support data export for compliance and record-keeping purposes.</w:t>
      </w:r>
    </w:p>
    <w:p>
      <w:pPr>
        <w:pStyle w:val="Heading2"/>
        <w:spacing w:after="160" w:before="360"/>
      </w:pPr>
      <w:bookmarkStart w:id="100018" w:name="_Toc100018"/>
      <w:r>
        <w:rPr>
          <w:rFonts w:ascii="Calibri"/>
          <w:b/>
          <w:bCs/>
          <w:color w:val="0A1628"/>
          <w:sz w:val="30"/>
          <w:szCs w:val="30"/>
        </w:rPr>
        <w:t xml:space="preserve">3.7 Inactivity Messages</w:t>
      </w:r>
      <w:bookmarkEnd w:id="100018"/>
    </w:p>
    <w:p>
      <w:pPr>
        <w:spacing w:after="120" w:line="312"/>
        <w:jc w:val="both"/>
      </w:pPr>
      <w:r>
        <w:rPr>
          <w:rFonts w:ascii="Calibri"/>
          <w:color w:val="1A2B40"/>
          <w:sz w:val="22"/>
          <w:szCs w:val="22"/>
        </w:rPr>
        <w:t xml:space="preserve">Automated messages that are sent to customers based on predefined time thresholds of inactivity. These messages help maintain engagement when an agent is busy with another chat or when a customer has paused mid-conversation. Agents can configure different messages for different inactivity periods, such as a gentle check-in after 60 seconds, a progress update after 120 seconds, or an offer to continue the conversation via email after extended inactivity. This feature prevents customers from feeling abandoned and helps manage expectations during high-volume periods.</w:t>
      </w:r>
    </w:p>
    <w:p>
      <w:pPr>
        <w:pStyle w:val="Heading2"/>
        <w:spacing w:after="160" w:before="360"/>
      </w:pPr>
      <w:bookmarkStart w:id="100019" w:name="_Toc100019"/>
      <w:r>
        <w:rPr>
          <w:rFonts w:ascii="Calibri"/>
          <w:b/>
          <w:bCs/>
          <w:color w:val="0A1628"/>
          <w:sz w:val="30"/>
          <w:szCs w:val="30"/>
        </w:rPr>
        <w:t xml:space="preserve">3.8 Notifications</w:t>
      </w:r>
      <w:bookmarkEnd w:id="100019"/>
    </w:p>
    <w:p>
      <w:pPr>
        <w:spacing w:after="120" w:line="312"/>
        <w:jc w:val="both"/>
      </w:pPr>
      <w:r>
        <w:rPr>
          <w:rFonts w:ascii="Calibri"/>
          <w:color w:val="1A2B40"/>
          <w:sz w:val="22"/>
          <w:szCs w:val="22"/>
        </w:rPr>
        <w:t xml:space="preserve">A comprehensive notification system that alerts agents about new chats, incoming messages, and important events. Notifications are delivered across all platforms including desktop browser push notifications, mobile app push notifications, and audio alerts within the agent application. Agents can customize their notification preferences to control which events trigger alerts and how they are delivered. The system supports priority-based notifications so urgent chats can be distinguished from routine inquiries. Additionally, notifications can be configured for supervisor events such as when a chat is queued for an extended period or when SLA thresholds are approaching.</w:t>
      </w:r>
    </w:p>
    <w:p>
      <w:pPr>
        <w:pStyle w:val="Heading2"/>
        <w:spacing w:after="160" w:before="360"/>
      </w:pPr>
      <w:bookmarkStart w:id="100020" w:name="_Toc100020"/>
      <w:r>
        <w:rPr>
          <w:rFonts w:ascii="Calibri"/>
          <w:b/>
          <w:bCs/>
          <w:color w:val="0A1628"/>
          <w:sz w:val="30"/>
          <w:szCs w:val="30"/>
        </w:rPr>
        <w:t xml:space="preserve">3.9 Chat Transfer</w:t>
      </w:r>
      <w:bookmarkEnd w:id="100020"/>
    </w:p>
    <w:p>
      <w:pPr>
        <w:spacing w:after="120" w:line="312"/>
        <w:jc w:val="both"/>
      </w:pPr>
      <w:r>
        <w:rPr>
          <w:rFonts w:ascii="Calibri"/>
          <w:color w:val="1A2B40"/>
          <w:sz w:val="22"/>
          <w:szCs w:val="22"/>
        </w:rPr>
        <w:t xml:space="preserve">The ability to seamlessly transfer an ongoing chat conversation from one agent to another. Transfers are essential for routing customers to the most qualified agent for their specific question, escalating complex issues to specialists, or redistributing workload during peak periods. The transferring agent can include an internal note explaining the situation, ensuring the receiving agent has full context. Chat transfers support both blind transfers (where the customer is not informed of the agent change) and announced transfers (where the customer is introduced to the new agent). Transfers can be directed to specific agents, departments, or skill-based queues.</w:t>
      </w:r>
    </w:p>
    <w:p>
      <w:pPr>
        <w:pStyle w:val="Heading2"/>
        <w:spacing w:after="160" w:before="360"/>
      </w:pPr>
      <w:bookmarkStart w:id="100021" w:name="_Toc100021"/>
      <w:r>
        <w:rPr>
          <w:rFonts w:ascii="Calibri"/>
          <w:b/>
          <w:bCs/>
          <w:color w:val="0A1628"/>
          <w:sz w:val="30"/>
          <w:szCs w:val="30"/>
        </w:rPr>
        <w:t xml:space="preserve">3.10 Chat Ratings</w:t>
      </w:r>
      <w:bookmarkEnd w:id="100021"/>
    </w:p>
    <w:p>
      <w:pPr>
        <w:spacing w:after="120" w:line="312"/>
        <w:jc w:val="both"/>
      </w:pPr>
      <w:r>
        <w:rPr>
          <w:rFonts w:ascii="Calibri"/>
          <w:color w:val="1A2B40"/>
          <w:sz w:val="22"/>
          <w:szCs w:val="22"/>
        </w:rPr>
        <w:t xml:space="preserve">A post-chat customer satisfaction survey feature that appears after a conversation concludes. Customers are invited to rate their experience on a customizable scale, typically using thumbs up/down or a star rating system. Optional follow-up comments allow customers to provide qualitative feedback. Chat ratings provide valuable data for monitoring agent performance, identifying training needs, and tracking customer satisfaction trends over time. The ratings feed directly into the analytics and reporting system, where they are used to calculate satisfaction scores and benchmark agent effectiveness.</w:t>
      </w:r>
    </w:p>
    <w:p>
      <w:pPr>
        <w:pStyle w:val="Heading2"/>
        <w:spacing w:after="160" w:before="360"/>
      </w:pPr>
      <w:bookmarkStart w:id="100022" w:name="_Toc100022"/>
      <w:r>
        <w:rPr>
          <w:rFonts w:ascii="Calibri"/>
          <w:b/>
          <w:bCs/>
          <w:color w:val="0A1628"/>
          <w:sz w:val="30"/>
          <w:szCs w:val="30"/>
        </w:rPr>
        <w:t xml:space="preserve">3.11 Asynchronous Communication</w:t>
      </w:r>
      <w:bookmarkEnd w:id="100022"/>
    </w:p>
    <w:p>
      <w:pPr>
        <w:spacing w:after="120" w:line="312"/>
        <w:jc w:val="both"/>
      </w:pPr>
      <w:r>
        <w:rPr>
          <w:rFonts w:ascii="Calibri"/>
          <w:color w:val="1A2B40"/>
          <w:sz w:val="22"/>
          <w:szCs w:val="22"/>
        </w:rPr>
        <w:t xml:space="preserve">Support for non-real-time communication that allows customers and agents to continue conversations over an extended period. When agents are unavailable or when customers prefer not to wait, the chat widget supports leaving messages that are queued and delivered when an agent becomes available. Customers receive notifications when their message has been read or responded to, creating a seamless experience that bridges the gap between live chat and email-like asynchronous communication. This feature is particularly valuable for businesses that operate across different time zones or cannot maintain 24/7 live agent coverage.</w:t>
      </w:r>
    </w:p>
    <w:p>
      <w:pPr>
        <w:pStyle w:val="Heading1"/>
        <w:spacing w:after="200" w:before="480"/>
      </w:pPr>
      <w:bookmarkStart w:id="100023" w:name="_Toc100023"/>
      <w:r>
        <w:rPr>
          <w:rFonts w:ascii="Calibri"/>
          <w:b/>
          <w:bCs/>
          <w:color w:val="0A1628"/>
          <w:sz w:val="36"/>
          <w:szCs w:val="36"/>
        </w:rPr>
        <w:t xml:space="preserve">4. Messaging Channels</w:t>
      </w:r>
      <w:bookmarkEnd w:id="100023"/>
    </w:p>
    <w:p>
      <w:pPr>
        <w:spacing w:after="120" w:line="312"/>
        <w:jc w:val="both"/>
      </w:pPr>
      <w:r>
        <w:rPr>
          <w:rFonts w:ascii="Calibri"/>
          <w:color w:val="1A2B40"/>
          <w:sz w:val="22"/>
          <w:szCs w:val="22"/>
        </w:rPr>
        <w:t xml:space="preserve">LiveChat provides an omnichannel experience, enabling businesses to manage customer conversations across multiple platforms from a single unified agent interface. This ensures that customers can reach out through their preferred channel while support teams maintain a consistent workflow regardless of where the conversation originates.</w:t>
      </w:r>
    </w:p>
    <w:p>
      <w:pPr>
        <w:pStyle w:val="Heading2"/>
        <w:spacing w:after="160" w:before="360"/>
      </w:pPr>
      <w:bookmarkStart w:id="100024" w:name="_Toc100024"/>
      <w:r>
        <w:rPr>
          <w:rFonts w:ascii="Calibri"/>
          <w:b/>
          <w:bCs/>
          <w:color w:val="0A1628"/>
          <w:sz w:val="30"/>
          <w:szCs w:val="30"/>
        </w:rPr>
        <w:t xml:space="preserve">4.1 Chat Widget</w:t>
      </w:r>
      <w:bookmarkEnd w:id="100024"/>
    </w:p>
    <w:p>
      <w:pPr>
        <w:spacing w:after="120" w:line="312"/>
        <w:jc w:val="both"/>
      </w:pPr>
      <w:r>
        <w:rPr>
          <w:rFonts w:ascii="Calibri"/>
          <w:color w:val="1A2B40"/>
          <w:sz w:val="22"/>
          <w:szCs w:val="22"/>
        </w:rPr>
        <w:t xml:space="preserve">The primary customer-facing interface that is embedded on the business's website. The chat widget appears as a floating button or embedded bar that customers can click to start a conversation. It supports real-time messaging, file uploads, rich message rendering, and can be customized to match the website's design. The widget is lightweight, fast-loading, and works across all modern browsers and devices. It supports both synchronous (live) and asynchronous (message queue) communication modes.</w:t>
      </w:r>
    </w:p>
    <w:p>
      <w:pPr>
        <w:pStyle w:val="Heading2"/>
        <w:spacing w:after="160" w:before="360"/>
      </w:pPr>
      <w:bookmarkStart w:id="100025" w:name="_Toc100025"/>
      <w:r>
        <w:rPr>
          <w:rFonts w:ascii="Calibri"/>
          <w:b/>
          <w:bCs/>
          <w:color w:val="0A1628"/>
          <w:sz w:val="30"/>
          <w:szCs w:val="30"/>
        </w:rPr>
        <w:t xml:space="preserve">4.2 Facebook Messenger</w:t>
      </w:r>
      <w:bookmarkEnd w:id="100025"/>
    </w:p>
    <w:p>
      <w:pPr>
        <w:spacing w:after="120" w:line="312"/>
        <w:jc w:val="both"/>
      </w:pPr>
      <w:r>
        <w:rPr>
          <w:rFonts w:ascii="Calibri"/>
          <w:color w:val="1A2B40"/>
          <w:sz w:val="22"/>
          <w:szCs w:val="22"/>
        </w:rPr>
        <w:t xml:space="preserve">Full integration with Facebook Messenger allows businesses to receive and respond to Facebook messages directly within the LiveChat agent application. All conversations from the business's Facebook page are routed through the same unified inbox, ensuring no message goes unanswered. The integration maintains full message history and customer context, allowing agents to see previous Facebook interactions alongside web chat conversations for a complete customer view.</w:t>
      </w:r>
    </w:p>
    <w:p>
      <w:pPr>
        <w:pStyle w:val="Heading2"/>
        <w:spacing w:after="160" w:before="360"/>
      </w:pPr>
      <w:bookmarkStart w:id="100026" w:name="_Toc100026"/>
      <w:r>
        <w:rPr>
          <w:rFonts w:ascii="Calibri"/>
          <w:b/>
          <w:bCs/>
          <w:color w:val="0A1628"/>
          <w:sz w:val="30"/>
          <w:szCs w:val="30"/>
        </w:rPr>
        <w:t xml:space="preserve">4.3 Instagram for Business</w:t>
      </w:r>
      <w:bookmarkEnd w:id="100026"/>
    </w:p>
    <w:p>
      <w:pPr>
        <w:spacing w:after="120" w:line="312"/>
        <w:jc w:val="both"/>
      </w:pPr>
      <w:r>
        <w:rPr>
          <w:rFonts w:ascii="Calibri"/>
          <w:color w:val="1A2B40"/>
          <w:sz w:val="22"/>
          <w:szCs w:val="22"/>
        </w:rPr>
        <w:t xml:space="preserve">Integration with Instagram's direct messaging system, enabling businesses to handle Instagram DMs through LiveChat. This is critical for businesses that use Instagram as a customer engagement channel, particularly ecommerce and lifestyle brands. Agents can respond to product inquiries, handle customer service issues, and close sales directly from the unified LiveChat interface. The integration supports all Instagram message types including images, stories mentions, and product tags.</w:t>
      </w:r>
    </w:p>
    <w:p>
      <w:pPr>
        <w:pStyle w:val="Heading2"/>
        <w:spacing w:after="160" w:before="360"/>
      </w:pPr>
      <w:bookmarkStart w:id="100027" w:name="_Toc100027"/>
      <w:r>
        <w:rPr>
          <w:rFonts w:ascii="Calibri"/>
          <w:b/>
          <w:bCs/>
          <w:color w:val="0A1628"/>
          <w:sz w:val="30"/>
          <w:szCs w:val="30"/>
        </w:rPr>
        <w:t xml:space="preserve">4.4 SMS</w:t>
      </w:r>
      <w:bookmarkEnd w:id="100027"/>
    </w:p>
    <w:p>
      <w:pPr>
        <w:spacing w:after="120" w:line="312"/>
        <w:jc w:val="both"/>
      </w:pPr>
      <w:r>
        <w:rPr>
          <w:rFonts w:ascii="Calibri"/>
          <w:color w:val="1A2B40"/>
          <w:sz w:val="22"/>
          <w:szCs w:val="22"/>
        </w:rPr>
        <w:t xml:space="preserve">Two-way SMS messaging through LiveChat allows businesses to communicate with customers via text message. This channel is particularly valuable for reaching customers who may not be active on social media or prefer the simplicity of SMS. The SMS integration enables proactive outreach such as appointment reminders, order updates, and delivery notifications, as well as inbound customer support via text message.</w:t>
      </w:r>
    </w:p>
    <w:p>
      <w:pPr>
        <w:pStyle w:val="Heading2"/>
        <w:spacing w:after="160" w:before="360"/>
      </w:pPr>
      <w:bookmarkStart w:id="100028" w:name="_Toc100028"/>
      <w:r>
        <w:rPr>
          <w:rFonts w:ascii="Calibri"/>
          <w:b/>
          <w:bCs/>
          <w:color w:val="0A1628"/>
          <w:sz w:val="30"/>
          <w:szCs w:val="30"/>
        </w:rPr>
        <w:t xml:space="preserve">4.5 Email Integration</w:t>
      </w:r>
      <w:bookmarkEnd w:id="100028"/>
    </w:p>
    <w:p>
      <w:pPr>
        <w:spacing w:after="120" w:line="312"/>
        <w:jc w:val="both"/>
      </w:pPr>
      <w:r>
        <w:rPr>
          <w:rFonts w:ascii="Calibri"/>
          <w:color w:val="1A2B40"/>
          <w:sz w:val="22"/>
          <w:szCs w:val="22"/>
        </w:rPr>
        <w:t xml:space="preserve">Email tickets can be created and managed directly within the LiveChat ecosystem, typically through the HelpDesk product. Email integration allows businesses to handle customer emails with the same tagging, routing, and reporting capabilities as live chats. This ensures that customers who prefer email communication receive the same quality of service as those who use real-time chat.</w:t>
      </w:r>
    </w:p>
    <w:p>
      <w:pPr>
        <w:pStyle w:val="Heading2"/>
        <w:spacing w:after="160" w:before="360"/>
      </w:pPr>
      <w:bookmarkStart w:id="100029" w:name="_Toc100029"/>
      <w:r>
        <w:rPr>
          <w:rFonts w:ascii="Calibri"/>
          <w:b/>
          <w:bCs/>
          <w:color w:val="0A1628"/>
          <w:sz w:val="30"/>
          <w:szCs w:val="30"/>
        </w:rPr>
        <w:t xml:space="preserve">4.6 WhatsApp Business</w:t>
      </w:r>
      <w:bookmarkEnd w:id="100029"/>
    </w:p>
    <w:p>
      <w:pPr>
        <w:spacing w:after="120" w:line="312"/>
        <w:jc w:val="both"/>
      </w:pPr>
      <w:r>
        <w:rPr>
          <w:rFonts w:ascii="Calibri"/>
          <w:color w:val="1A2B40"/>
          <w:sz w:val="22"/>
          <w:szCs w:val="22"/>
        </w:rPr>
        <w:t xml:space="preserve">Full integration with the WhatsApp Business API, enabling businesses to communicate with customers on the world's most popular messaging platform. Through LiveChat, agents can send and receive WhatsApp messages, share media, and use WhatsApp's interactive features. This channel is essential for businesses with an international customer base, particularly in regions where WhatsApp is the dominant communication platform. The integration supports all WhatsApp message types including text, images, documents, location sharing, and interactive quick-reply buttons.</w:t>
      </w:r>
    </w:p>
    <w:p>
      <w:pPr>
        <w:pStyle w:val="Heading2"/>
        <w:spacing w:after="160" w:before="360"/>
      </w:pPr>
      <w:bookmarkStart w:id="100030" w:name="_Toc100030"/>
      <w:r>
        <w:rPr>
          <w:rFonts w:ascii="Calibri"/>
          <w:b/>
          <w:bCs/>
          <w:color w:val="0A1628"/>
          <w:sz w:val="30"/>
          <w:szCs w:val="30"/>
        </w:rPr>
        <w:t xml:space="preserve">4.7 Apple Messages for Business</w:t>
      </w:r>
      <w:bookmarkEnd w:id="100030"/>
    </w:p>
    <w:p>
      <w:pPr>
        <w:spacing w:after="120" w:line="312"/>
        <w:jc w:val="both"/>
      </w:pPr>
      <w:r>
        <w:rPr>
          <w:rFonts w:ascii="Calibri"/>
          <w:color w:val="1A2B40"/>
          <w:sz w:val="22"/>
          <w:szCs w:val="22"/>
        </w:rPr>
        <w:t xml:space="preserve">Integration with Apple's Messages for Business platform (formerly Apple Business Chat), available on iPhone, iPad, Apple Watch, and Mac. This premium channel allows businesses to provide rich, interactive customer experiences within the native Messages app. The integration supports rich media, interactive lists, time-pickable scheduling, Apple Pay integration, and map location sharing, providing a native Apple experience for customers.</w:t>
      </w:r>
    </w:p>
    <w:p>
      <w:pPr>
        <w:pStyle w:val="Heading2"/>
        <w:spacing w:after="160" w:before="360"/>
      </w:pPr>
      <w:bookmarkStart w:id="100031" w:name="_Toc100031"/>
      <w:r>
        <w:rPr>
          <w:rFonts w:ascii="Calibri"/>
          <w:b/>
          <w:bCs/>
          <w:color w:val="0A1628"/>
          <w:sz w:val="30"/>
          <w:szCs w:val="30"/>
        </w:rPr>
        <w:t xml:space="preserve">4.8 Chat Page</w:t>
      </w:r>
      <w:bookmarkEnd w:id="100031"/>
    </w:p>
    <w:p>
      <w:pPr>
        <w:spacing w:after="120" w:line="312"/>
        <w:jc w:val="both"/>
      </w:pPr>
      <w:r>
        <w:rPr>
          <w:rFonts w:ascii="Calibri"/>
          <w:color w:val="1A2B40"/>
          <w:sz w:val="22"/>
          <w:szCs w:val="22"/>
        </w:rPr>
        <w:t xml:space="preserve">A dedicated standalone chat page hosted on LiveChat's servers that businesses can link to from marketing emails, social media profiles, QR codes, or anywhere they want to provide a direct communication channel. The chat page requires no website integration and opens a full-featured chat window when accessed. This is particularly useful for businesses running social media campaigns, email marketing, or offline advertising who want to provide an easy way for potential customers to start a conversation.</w:t>
      </w:r>
    </w:p>
    <w:p>
      <w:pPr>
        <w:pStyle w:val="Heading2"/>
        <w:spacing w:after="160" w:before="360"/>
      </w:pPr>
      <w:bookmarkStart w:id="100032" w:name="_Toc100032"/>
      <w:r>
        <w:rPr>
          <w:rFonts w:ascii="Calibri"/>
          <w:b/>
          <w:bCs/>
          <w:color w:val="0A1628"/>
          <w:sz w:val="30"/>
          <w:szCs w:val="30"/>
        </w:rPr>
        <w:t xml:space="preserve">4.9 In-Chat Voice, Video, and Screen Sharing</w:t>
      </w:r>
      <w:bookmarkEnd w:id="100032"/>
    </w:p>
    <w:p>
      <w:pPr>
        <w:spacing w:after="120" w:line="312"/>
        <w:jc w:val="both"/>
      </w:pPr>
      <w:r>
        <w:rPr>
          <w:rFonts w:ascii="Calibri"/>
          <w:color w:val="1A2B40"/>
          <w:sz w:val="22"/>
          <w:szCs w:val="22"/>
        </w:rPr>
        <w:t xml:space="preserve">Enhanced communication capabilities that allow agents and customers to escalate from text-based chat to richer communication formats. Voice calling enables real-time audio conversations, video calling adds face-to-face interaction for building rapport and resolving visual issues, and screen sharing allows agents to see the customer's screen for troubleshooting technical issues or guiding them through complex processes. These features are initiated directly within the chat widget, requiring no external applications, and are essential for providing premium technical support and personalized sales consultations.</w:t>
      </w:r>
    </w:p>
    <w:p>
      <w:pPr>
        <w:pStyle w:val="Heading1"/>
        <w:spacing w:after="200" w:before="480"/>
      </w:pPr>
      <w:bookmarkStart w:id="100033" w:name="_Toc100033"/>
      <w:r>
        <w:rPr>
          <w:rFonts w:ascii="Calibri"/>
          <w:b/>
          <w:bCs/>
          <w:color w:val="0A1628"/>
          <w:sz w:val="36"/>
          <w:szCs w:val="36"/>
        </w:rPr>
        <w:t xml:space="preserve">5. AI Features</w:t>
      </w:r>
      <w:bookmarkEnd w:id="100033"/>
    </w:p>
    <w:p>
      <w:pPr>
        <w:spacing w:after="120" w:line="312"/>
        <w:jc w:val="both"/>
      </w:pPr>
      <w:r>
        <w:rPr>
          <w:rFonts w:ascii="Calibri"/>
          <w:color w:val="1A2B40"/>
          <w:sz w:val="22"/>
          <w:szCs w:val="22"/>
        </w:rPr>
        <w:t xml:space="preserve">LiveChat is increasingly powered by artificial intelligence, with AI features integrated at multiple levels to enhance both agent productivity and customer experience. These features leverage advanced language models to understand context, generate appropriate responses, and provide intelligent assistance throughout the support workflow.</w:t>
      </w:r>
    </w:p>
    <w:p>
      <w:pPr>
        <w:pStyle w:val="Heading2"/>
        <w:spacing w:after="160" w:before="360"/>
      </w:pPr>
      <w:bookmarkStart w:id="100034" w:name="_Toc100034"/>
      <w:r>
        <w:rPr>
          <w:rFonts w:ascii="Calibri"/>
          <w:b/>
          <w:bCs/>
          <w:color w:val="0A1628"/>
          <w:sz w:val="30"/>
          <w:szCs w:val="30"/>
        </w:rPr>
        <w:t xml:space="preserve">5.1 AI Copilot</w:t>
      </w:r>
      <w:bookmarkEnd w:id="100034"/>
    </w:p>
    <w:p>
      <w:pPr>
        <w:spacing w:after="120" w:line="312"/>
        <w:jc w:val="both"/>
      </w:pPr>
      <w:r>
        <w:rPr>
          <w:rFonts w:ascii="Calibri"/>
          <w:color w:val="1A2B40"/>
          <w:sz w:val="22"/>
          <w:szCs w:val="22"/>
        </w:rPr>
        <w:t xml:space="preserve">An intelligent assistant embedded within the LiveChat agent application that provides real-time support to human agents during customer conversations. The AI Copilot analyzes the ongoing conversation and provides contextual suggestions, recommends relevant knowledge base articles, suggests appropriate canned responses, and offers real-time insights about the customer such as their browsing history, previous interactions, and potential intent. The Copilot helps agents navigate the LiveChat application more efficiently, respond faster, and deliver a more consistent and informed customer experience. It acts as an always-available knowledge companion that reduces agent cognitive load and improves first-contact resolution rates.</w:t>
      </w:r>
    </w:p>
    <w:p>
      <w:pPr>
        <w:pStyle w:val="Heading2"/>
        <w:spacing w:after="160" w:before="360"/>
      </w:pPr>
      <w:bookmarkStart w:id="100035" w:name="_Toc100035"/>
      <w:r>
        <w:rPr>
          <w:rFonts w:ascii="Calibri"/>
          <w:b/>
          <w:bCs/>
          <w:color w:val="0A1628"/>
          <w:sz w:val="30"/>
          <w:szCs w:val="30"/>
        </w:rPr>
        <w:t xml:space="preserve">5.2 Text Enhancement</w:t>
      </w:r>
      <w:bookmarkEnd w:id="100035"/>
    </w:p>
    <w:p>
      <w:pPr>
        <w:spacing w:after="120" w:line="312"/>
        <w:jc w:val="both"/>
      </w:pPr>
      <w:r>
        <w:rPr>
          <w:rFonts w:ascii="Calibri"/>
          <w:color w:val="1A2B40"/>
          <w:sz w:val="22"/>
          <w:szCs w:val="22"/>
        </w:rPr>
        <w:t xml:space="preserve">AI-powered writing assistance that helps agents craft better responses. The text enhancement feature can improve the grammar, tone, and clarity of agent messages before they are sent. It can expand brief notes into professional responses, adjust the formality level to match the customer's communication style, and ensure that responses are comprehensive and well-structured. This feature is particularly valuable for agents handling complex or sensitive situations where precise communication is critical, or for newer agents who are still building their communication skills.</w:t>
      </w:r>
    </w:p>
    <w:p>
      <w:pPr>
        <w:pStyle w:val="Heading2"/>
        <w:spacing w:after="160" w:before="360"/>
      </w:pPr>
      <w:bookmarkStart w:id="100036" w:name="_Toc100036"/>
      <w:r>
        <w:rPr>
          <w:rFonts w:ascii="Calibri"/>
          <w:b/>
          <w:bCs/>
          <w:color w:val="0A1628"/>
          <w:sz w:val="30"/>
          <w:szCs w:val="30"/>
        </w:rPr>
        <w:t xml:space="preserve">5.3 Tag Suggestions</w:t>
      </w:r>
      <w:bookmarkEnd w:id="100036"/>
    </w:p>
    <w:p>
      <w:pPr>
        <w:spacing w:after="120" w:line="312"/>
        <w:jc w:val="both"/>
      </w:pPr>
      <w:r>
        <w:rPr>
          <w:rFonts w:ascii="Calibri"/>
          <w:color w:val="1A2B40"/>
          <w:sz w:val="22"/>
          <w:szCs w:val="22"/>
        </w:rPr>
        <w:t xml:space="preserve">Automatic tag recommendation powered by AI that analyzes the content of conversations in real-time and suggests relevant tags for categorization. The AI examines the topics discussed, the customer's intent, the products or services mentioned, and other contextual signals to recommend the most appropriate tags. This eliminates the need for agents to manually categorize each conversation, saving time and ensuring consistent tagging across the team. Accurate automatic tagging also improves the quality of reporting and analytics data, as conversations are more consistently categorized.</w:t>
      </w:r>
    </w:p>
    <w:p>
      <w:pPr>
        <w:pStyle w:val="Heading2"/>
        <w:spacing w:after="160" w:before="360"/>
      </w:pPr>
      <w:bookmarkStart w:id="100037" w:name="_Toc100037"/>
      <w:r>
        <w:rPr>
          <w:rFonts w:ascii="Calibri"/>
          <w:b/>
          <w:bCs/>
          <w:color w:val="0A1628"/>
          <w:sz w:val="30"/>
          <w:szCs w:val="30"/>
        </w:rPr>
        <w:t xml:space="preserve">5.4 Chat Summary</w:t>
      </w:r>
      <w:bookmarkEnd w:id="100037"/>
    </w:p>
    <w:p>
      <w:pPr>
        <w:spacing w:after="120" w:line="312"/>
        <w:jc w:val="both"/>
      </w:pPr>
      <w:r>
        <w:rPr>
          <w:rFonts w:ascii="Calibri"/>
          <w:color w:val="1A2B40"/>
          <w:sz w:val="22"/>
          <w:szCs w:val="22"/>
        </w:rPr>
        <w:t xml:space="preserve">AI-generated summaries of completed conversations that provide a concise overview of what was discussed, what actions were taken, and what the resolution was. Chat summaries are automatically created when a conversation ends and are stored in the chat archive alongside the full transcript. They enable agents and supervisors to quickly understand the outcome of a conversation without reading through the entire message history, making follow-up interactions more efficient. Summaries are also valuable for handoff scenarios, quality assurance reviews, and reporting purposes where high-level conversation insights are needed.</w:t>
      </w:r>
    </w:p>
    <w:p>
      <w:pPr>
        <w:pStyle w:val="Heading2"/>
        <w:spacing w:after="160" w:before="360"/>
      </w:pPr>
      <w:bookmarkStart w:id="100038" w:name="_Toc100038"/>
      <w:r>
        <w:rPr>
          <w:rFonts w:ascii="Calibri"/>
          <w:b/>
          <w:bCs/>
          <w:color w:val="0A1628"/>
          <w:sz w:val="30"/>
          <w:szCs w:val="30"/>
        </w:rPr>
        <w:t xml:space="preserve">5.5 Weekly AI Insights</w:t>
      </w:r>
      <w:bookmarkEnd w:id="100038"/>
    </w:p>
    <w:p>
      <w:pPr>
        <w:spacing w:after="120" w:line="312"/>
        <w:jc w:val="both"/>
      </w:pPr>
      <w:r>
        <w:rPr>
          <w:rFonts w:ascii="Calibri"/>
          <w:color w:val="1A2B40"/>
          <w:sz w:val="22"/>
          <w:szCs w:val="22"/>
        </w:rPr>
        <w:t xml:space="preserve">Automated weekly summaries that analyze thousands of conversations and highlight the most frequent customer questions, trending topics, and emerging issues. This feature provides business intelligence by aggregating conversation data and presenting it in a digestible format. Weekly insights help management identify patterns in customer behavior, discover common pain points, track the effectiveness of support initiatives, and make data-driven decisions about product improvements, staffing, and training priorities. It is described as being able to analyze the equivalent of skimming through 1,000 chats in just 30 seconds.</w:t>
      </w:r>
    </w:p>
    <w:p>
      <w:pPr>
        <w:pStyle w:val="Heading2"/>
        <w:spacing w:after="160" w:before="360"/>
      </w:pPr>
      <w:bookmarkStart w:id="100039" w:name="_Toc100039"/>
      <w:r>
        <w:rPr>
          <w:rFonts w:ascii="Calibri"/>
          <w:b/>
          <w:bCs/>
          <w:color w:val="0A1628"/>
          <w:sz w:val="30"/>
          <w:szCs w:val="30"/>
        </w:rPr>
        <w:t xml:space="preserve">5.6 ChatBot AI Integration</w:t>
      </w:r>
      <w:bookmarkEnd w:id="100039"/>
    </w:p>
    <w:p>
      <w:pPr>
        <w:spacing w:after="120" w:line="312"/>
        <w:jc w:val="both"/>
      </w:pPr>
      <w:r>
        <w:rPr>
          <w:rFonts w:ascii="Calibri"/>
          <w:color w:val="1A2B40"/>
          <w:sz w:val="22"/>
          <w:szCs w:val="22"/>
        </w:rPr>
        <w:t xml:space="preserve">Deep integration with the ChatBot product enables businesses to deploy AI-powered chatbots that handle conversations automatically. Chatbots can be configured to handle specific use cases such as lead qualification, FAQ answering, order tracking, appointment scheduling, and product recommendations. The AI chatbot uses natural language understanding to interpret customer intent and can seamlessly hand off to a human agent when the conversation requires human judgment or expertise. The bot's responses improve over time as it learns from corrections and additional training data provided through the AgentTrainer tool.</w:t>
      </w:r>
    </w:p>
    <w:p>
      <w:pPr>
        <w:pStyle w:val="Heading1"/>
        <w:spacing w:after="200" w:before="480"/>
      </w:pPr>
      <w:bookmarkStart w:id="100040" w:name="_Toc100040"/>
      <w:r>
        <w:rPr>
          <w:rFonts w:ascii="Calibri"/>
          <w:b/>
          <w:bCs/>
          <w:color w:val="0A1628"/>
          <w:sz w:val="36"/>
          <w:szCs w:val="36"/>
        </w:rPr>
        <w:t xml:space="preserve">6. Customization</w:t>
      </w:r>
      <w:bookmarkEnd w:id="100040"/>
    </w:p>
    <w:p>
      <w:pPr>
        <w:spacing w:after="120" w:line="312"/>
        <w:jc w:val="both"/>
      </w:pPr>
      <w:r>
        <w:rPr>
          <w:rFonts w:ascii="Calibri"/>
          <w:color w:val="1A2B40"/>
          <w:sz w:val="22"/>
          <w:szCs w:val="22"/>
        </w:rPr>
        <w:t xml:space="preserve">LiveChat offers extensive customization capabilities that allow businesses to tailor the chat widget, agent profiles, and overall appearance to match their brand identity and provide a consistent customer experience.</w:t>
      </w:r>
    </w:p>
    <w:p>
      <w:pPr>
        <w:pStyle w:val="Heading2"/>
        <w:spacing w:after="160" w:before="360"/>
      </w:pPr>
      <w:bookmarkStart w:id="100041" w:name="_Toc100041"/>
      <w:r>
        <w:rPr>
          <w:rFonts w:ascii="Calibri"/>
          <w:b/>
          <w:bCs/>
          <w:color w:val="0A1628"/>
          <w:sz w:val="30"/>
          <w:szCs w:val="30"/>
        </w:rPr>
        <w:t xml:space="preserve">6.1 Chat Widget Customization</w:t>
      </w:r>
      <w:bookmarkEnd w:id="100041"/>
    </w:p>
    <w:p>
      <w:pPr>
        <w:spacing w:after="120" w:line="312"/>
        <w:jc w:val="both"/>
      </w:pPr>
      <w:r>
        <w:rPr>
          <w:rFonts w:ascii="Calibri"/>
          <w:color w:val="1A2B40"/>
          <w:sz w:val="22"/>
          <w:szCs w:val="22"/>
        </w:rPr>
        <w:t xml:space="preserve">A comprehensive customization system for the chat widget that includes a live visual editor. The live editor allows administrators to adjust colors, themes, and widget positioning in real-time without needing to switch between the LiveChat settings and their website. Customization options include theme selection (light or dark mode), color scheme customization to match brand guidelines, widget position (bottom-left, bottom-right, or embedded), widget shape and size, custom welcome messages and greetings, custom header and avatar, and show/hide behavior based on page or user segment. The widget appearance adapts automatically for desktop and mobile devices, ensuring an optimal experience across all screen sizes.</w:t>
      </w:r>
    </w:p>
    <w:p>
      <w:pPr>
        <w:pStyle w:val="Heading2"/>
        <w:spacing w:after="160" w:before="360"/>
      </w:pPr>
      <w:bookmarkStart w:id="100042" w:name="_Toc100042"/>
      <w:r>
        <w:rPr>
          <w:rFonts w:ascii="Calibri"/>
          <w:b/>
          <w:bCs/>
          <w:color w:val="0A1628"/>
          <w:sz w:val="30"/>
          <w:szCs w:val="30"/>
        </w:rPr>
        <w:t xml:space="preserve">6.2 Agent Profiles</w:t>
      </w:r>
      <w:bookmarkEnd w:id="100042"/>
    </w:p>
    <w:p>
      <w:pPr>
        <w:spacing w:after="120" w:line="312"/>
        <w:jc w:val="both"/>
      </w:pPr>
      <w:r>
        <w:rPr>
          <w:rFonts w:ascii="Calibri"/>
          <w:color w:val="1A2B40"/>
          <w:sz w:val="22"/>
          <w:szCs w:val="22"/>
        </w:rPr>
        <w:t xml:space="preserve">Agents can personalize their public-facing profiles within the chat widget. Each agent can set their display name, job title, and profile picture. Profile pictures can be selected from a built-in gallery or uploaded as custom images. This humanizes the chat experience, making customers feel like they are talking to a real person rather than an anonymous support representative. Agent profiles can also include additional information such as department, expertise areas, and availability status, helping customers understand who they are chatting with.</w:t>
      </w:r>
    </w:p>
    <w:p>
      <w:pPr>
        <w:pStyle w:val="Heading2"/>
        <w:spacing w:after="160" w:before="360"/>
      </w:pPr>
      <w:bookmarkStart w:id="100043" w:name="_Toc100043"/>
      <w:r>
        <w:rPr>
          <w:rFonts w:ascii="Calibri"/>
          <w:b/>
          <w:bCs/>
          <w:color w:val="0A1628"/>
          <w:sz w:val="30"/>
          <w:szCs w:val="30"/>
        </w:rPr>
        <w:t xml:space="preserve">6.3 Accessibility</w:t>
      </w:r>
      <w:bookmarkEnd w:id="100043"/>
    </w:p>
    <w:p>
      <w:pPr>
        <w:spacing w:after="120" w:line="312"/>
        <w:jc w:val="both"/>
      </w:pPr>
      <w:r>
        <w:rPr>
          <w:rFonts w:ascii="Calibri"/>
          <w:color w:val="1A2B40"/>
          <w:sz w:val="22"/>
          <w:szCs w:val="22"/>
        </w:rPr>
        <w:t xml:space="preserve">The chat widget is fully accessible and WCAG 2.1 AA compliant, ensuring that customers with disabilities can use the chat effectively. Accessibility features include full screen reader support for visually impaired users, complete keyboard navigation for customers who cannot use a mouse, high contrast mode support, and proper ARIA labels for all interactive elements. This commitment to accessibility ensures that businesses can serve all their customers, regardless of their abilities, and comply with accessibility regulations.</w:t>
      </w:r>
    </w:p>
    <w:p>
      <w:pPr>
        <w:pStyle w:val="Heading2"/>
        <w:spacing w:after="160" w:before="360"/>
      </w:pPr>
      <w:bookmarkStart w:id="100044" w:name="_Toc100044"/>
      <w:r>
        <w:rPr>
          <w:rFonts w:ascii="Calibri"/>
          <w:b/>
          <w:bCs/>
          <w:color w:val="0A1628"/>
          <w:sz w:val="30"/>
          <w:szCs w:val="30"/>
        </w:rPr>
        <w:t xml:space="preserve">6.4 Multilingual Support (45+ Languages)</w:t>
      </w:r>
      <w:bookmarkEnd w:id="100044"/>
    </w:p>
    <w:p>
      <w:pPr>
        <w:spacing w:after="120" w:line="312"/>
        <w:jc w:val="both"/>
      </w:pPr>
      <w:r>
        <w:rPr>
          <w:rFonts w:ascii="Calibri"/>
          <w:color w:val="1A2B40"/>
          <w:sz w:val="22"/>
          <w:szCs w:val="22"/>
        </w:rPr>
        <w:t xml:space="preserve">Both the chat widget and greeting messages are translated into 45+ languages, including right-to-left languages such as Arabic and Hebrew. This allows businesses to provide native-language support to an international customer base without maintaining separate chat installations. The language can be set automatically based on the customer's browser settings or manually selected by the customer. Multilingual support extends to the agent interface as well, enabling international support teams to work in their preferred language.</w:t>
      </w:r>
    </w:p>
    <w:p>
      <w:pPr>
        <w:pStyle w:val="Heading2"/>
        <w:spacing w:after="160" w:before="360"/>
      </w:pPr>
      <w:bookmarkStart w:id="100045" w:name="_Toc100045"/>
      <w:r>
        <w:rPr>
          <w:rFonts w:ascii="Calibri"/>
          <w:b/>
          <w:bCs/>
          <w:color w:val="0A1628"/>
          <w:sz w:val="30"/>
          <w:szCs w:val="30"/>
        </w:rPr>
        <w:t xml:space="preserve">6.5 Chat Boosters</w:t>
      </w:r>
      <w:bookmarkEnd w:id="100045"/>
    </w:p>
    <w:p>
      <w:pPr>
        <w:spacing w:after="120" w:line="312"/>
        <w:jc w:val="both"/>
      </w:pPr>
      <w:r>
        <w:rPr>
          <w:rFonts w:ascii="Calibri"/>
          <w:color w:val="1A2B40"/>
          <w:sz w:val="22"/>
          <w:szCs w:val="22"/>
        </w:rPr>
        <w:t xml:space="preserve">Chat boosters are features that add extra functionality to the chat widget, enhancing the customer self-service experience. The primary booster is the KnowledgeBase integration, which adds a search bar within the chat widget that allows customers to find help articles and answers without starting a conversation. Other boosters may include product recommendation widgets, automated satisfaction surveys, and promotional banners. Chat boosters reduce the volume of incoming chats by enabling customers to find answers independently, freeing agents to focus on more complex issues.</w:t>
      </w:r>
    </w:p>
    <w:p>
      <w:pPr>
        <w:pStyle w:val="Heading1"/>
        <w:spacing w:after="200" w:before="480"/>
      </w:pPr>
      <w:bookmarkStart w:id="100046" w:name="_Toc100046"/>
      <w:r>
        <w:rPr>
          <w:rFonts w:ascii="Calibri"/>
          <w:b/>
          <w:bCs/>
          <w:color w:val="0A1628"/>
          <w:sz w:val="36"/>
          <w:szCs w:val="36"/>
        </w:rPr>
        <w:t xml:space="preserve">7. Customer Engagement</w:t>
      </w:r>
      <w:bookmarkEnd w:id="100046"/>
    </w:p>
    <w:p>
      <w:pPr>
        <w:spacing w:after="120" w:line="312"/>
        <w:jc w:val="both"/>
      </w:pPr>
      <w:r>
        <w:rPr>
          <w:rFonts w:ascii="Calibri"/>
          <w:color w:val="1A2B40"/>
          <w:sz w:val="22"/>
          <w:szCs w:val="22"/>
        </w:rPr>
        <w:t xml:space="preserve">LiveChat provides multiple proactive engagement tools designed to increase chat volume, improve lead generation, and ensure that customers can easily reach out when they need assistance.</w:t>
      </w:r>
    </w:p>
    <w:p>
      <w:pPr>
        <w:pStyle w:val="Heading2"/>
        <w:spacing w:after="160" w:before="360"/>
      </w:pPr>
      <w:bookmarkStart w:id="100047" w:name="_Toc100047"/>
      <w:r>
        <w:rPr>
          <w:rFonts w:ascii="Calibri"/>
          <w:b/>
          <w:bCs/>
          <w:color w:val="0A1628"/>
          <w:sz w:val="30"/>
          <w:szCs w:val="30"/>
        </w:rPr>
        <w:t xml:space="preserve">7.1 Targeted Messages</w:t>
      </w:r>
      <w:bookmarkEnd w:id="100047"/>
    </w:p>
    <w:p>
      <w:pPr>
        <w:spacing w:after="120" w:line="312"/>
        <w:jc w:val="both"/>
      </w:pPr>
      <w:r>
        <w:rPr>
          <w:rFonts w:ascii="Calibri"/>
          <w:color w:val="1A2B40"/>
          <w:sz w:val="22"/>
          <w:szCs w:val="22"/>
        </w:rPr>
        <w:t xml:space="preserve">Proactive chat invitations that are triggered based on customer behavior, demographics, or page context. Targeted messages can be configured to appear when a customer has been on a page for a specific amount of time, when they are about to leave the website, when they visit a pricing page, when they have items in their cart, or based on any other custom trigger condition. These proactive messages significantly increase chat engagement rates and can be used to guide customers through the sales funnel. Targeted messages support A/B testing to optimize messaging and timing.</w:t>
      </w:r>
    </w:p>
    <w:p>
      <w:pPr>
        <w:pStyle w:val="Heading2"/>
        <w:spacing w:after="160" w:before="360"/>
      </w:pPr>
      <w:bookmarkStart w:id="100048" w:name="_Toc100048"/>
      <w:r>
        <w:rPr>
          <w:rFonts w:ascii="Calibri"/>
          <w:b/>
          <w:bCs/>
          <w:color w:val="0A1628"/>
          <w:sz w:val="30"/>
          <w:szCs w:val="30"/>
        </w:rPr>
        <w:t xml:space="preserve">7.2 Eye-Catchers</w:t>
      </w:r>
      <w:bookmarkEnd w:id="100048"/>
    </w:p>
    <w:p>
      <w:pPr>
        <w:spacing w:after="120" w:line="312"/>
        <w:jc w:val="both"/>
      </w:pPr>
      <w:r>
        <w:rPr>
          <w:rFonts w:ascii="Calibri"/>
          <w:color w:val="1A2B40"/>
          <w:sz w:val="22"/>
          <w:szCs w:val="22"/>
        </w:rPr>
        <w:t xml:space="preserve">Visual attention-grabbing elements attached to the chat widget that draw the customer's notice and encourage them to initiate a conversation. Eye-catchers can include animated badges showing unread message count, pulsing icons, custom labels or text, and notification-style indicators. They are designed to stand out on the page without being intrusive, creating a balance between visibility and user experience. Eye-catchers can be customized to match the brand and can be configured to appear only on specific pages or for specific customer segments.</w:t>
      </w:r>
    </w:p>
    <w:p>
      <w:pPr>
        <w:pStyle w:val="Heading2"/>
        <w:spacing w:after="160" w:before="360"/>
      </w:pPr>
      <w:bookmarkStart w:id="100049" w:name="_Toc100049"/>
      <w:r>
        <w:rPr>
          <w:rFonts w:ascii="Calibri"/>
          <w:b/>
          <w:bCs/>
          <w:color w:val="0A1628"/>
          <w:sz w:val="30"/>
          <w:szCs w:val="30"/>
        </w:rPr>
        <w:t xml:space="preserve">7.3 Chat Buttons</w:t>
      </w:r>
      <w:bookmarkEnd w:id="100049"/>
    </w:p>
    <w:p>
      <w:pPr>
        <w:spacing w:after="120" w:line="312"/>
        <w:jc w:val="both"/>
      </w:pPr>
      <w:r>
        <w:rPr>
          <w:rFonts w:ascii="Calibri"/>
          <w:color w:val="1A2B40"/>
          <w:sz w:val="22"/>
          <w:szCs w:val="22"/>
        </w:rPr>
        <w:t xml:space="preserve">Customizable HTML buttons placed anywhere on the website that, when clicked, open a pre-configured chat conversation. Chat buttons can be embedded in product pages, blog posts, email signatures, or landing pages to provide contextual entry points to the chat. Each button can be configured with a pre-filled message or routing rules, so clicking a button on a product page might automatically route to the sales department with the product information pre-populated. This feature turns static web pages into interactive touchpoints for customer engagement.</w:t>
      </w:r>
    </w:p>
    <w:p>
      <w:pPr>
        <w:pStyle w:val="Heading2"/>
        <w:spacing w:after="160" w:before="360"/>
      </w:pPr>
      <w:bookmarkStart w:id="100050" w:name="_Toc100050"/>
      <w:r>
        <w:rPr>
          <w:rFonts w:ascii="Calibri"/>
          <w:b/>
          <w:bCs/>
          <w:color w:val="0A1628"/>
          <w:sz w:val="30"/>
          <w:szCs w:val="30"/>
        </w:rPr>
        <w:t xml:space="preserve">7.4 Routing Rules</w:t>
      </w:r>
      <w:bookmarkEnd w:id="100050"/>
    </w:p>
    <w:p>
      <w:pPr>
        <w:spacing w:after="120" w:line="312"/>
        <w:jc w:val="both"/>
      </w:pPr>
      <w:r>
        <w:rPr>
          <w:rFonts w:ascii="Calibri"/>
          <w:color w:val="1A2B40"/>
          <w:sz w:val="22"/>
          <w:szCs w:val="22"/>
        </w:rPr>
        <w:t xml:space="preserve">A powerful rule-based system for automatically directing incoming chats to the most appropriate agent or department. Routing rules can be based on customer attributes (location, language, VIP status), page context (which product page the customer is on), chat source (Facebook, WhatsApp, web widget), skill-based matching (matching customer language to agent language capabilities), and time-based routing (during and after business hours). Routing rules ensure that customers are connected to the agent who is best equipped to help them, reducing transfer rates and improving first-contact resolution.</w:t>
      </w:r>
    </w:p>
    <w:p>
      <w:pPr>
        <w:pStyle w:val="Heading2"/>
        <w:spacing w:after="160" w:before="360"/>
      </w:pPr>
      <w:bookmarkStart w:id="100051" w:name="_Toc100051"/>
      <w:r>
        <w:rPr>
          <w:rFonts w:ascii="Calibri"/>
          <w:b/>
          <w:bCs/>
          <w:color w:val="0A1628"/>
          <w:sz w:val="30"/>
          <w:szCs w:val="30"/>
        </w:rPr>
        <w:t xml:space="preserve">7.5 Availability Management</w:t>
      </w:r>
      <w:bookmarkEnd w:id="100051"/>
    </w:p>
    <w:p>
      <w:pPr>
        <w:spacing w:after="120" w:line="312"/>
        <w:jc w:val="both"/>
      </w:pPr>
      <w:r>
        <w:rPr>
          <w:rFonts w:ascii="Calibri"/>
          <w:color w:val="1A2B40"/>
          <w:sz w:val="22"/>
          <w:szCs w:val="22"/>
        </w:rPr>
        <w:t xml:space="preserve">Comprehensive controls for managing when and how the chat is available to customers. Businesses can set specific operating hours during which live chat is available, configure automatic messages for when the team is offline, set maximum concurrent chat limits per agent to prevent overload, configure queue behavior when all agents are busy, and define different availability settings for different departments or channels. The availability system ensures that customers always have a clear understanding of when they can expect a response, managing expectations and improving satisfaction.</w:t>
      </w:r>
    </w:p>
    <w:p>
      <w:pPr>
        <w:pStyle w:val="Heading2"/>
        <w:spacing w:after="160" w:before="360"/>
      </w:pPr>
      <w:bookmarkStart w:id="100052" w:name="_Toc100052"/>
      <w:r>
        <w:rPr>
          <w:rFonts w:ascii="Calibri"/>
          <w:b/>
          <w:bCs/>
          <w:color w:val="0A1628"/>
          <w:sz w:val="30"/>
          <w:szCs w:val="30"/>
        </w:rPr>
        <w:t xml:space="preserve">7.6 Chat Assignment</w:t>
      </w:r>
      <w:bookmarkEnd w:id="100052"/>
    </w:p>
    <w:p>
      <w:pPr>
        <w:spacing w:after="120" w:line="312"/>
        <w:jc w:val="both"/>
      </w:pPr>
      <w:r>
        <w:rPr>
          <w:rFonts w:ascii="Calibri"/>
          <w:color w:val="1A2B40"/>
          <w:sz w:val="22"/>
          <w:szCs w:val="22"/>
        </w:rPr>
        <w:t xml:space="preserve">Automatic distribution of incoming chats to available agents based on configurable assignment rules. Chat assignment ensures fair workload distribution across the team and connects customers with available agents as quickly as possible. Assignment methods include round-robin (distributing chats equally among agents), skill-based (matching to the most qualified agent), load-balancing (assigning to the agent with the fewest active chats), and manual pick (allowing supervisors to assign specific chats). The system automatically reassigns chats if an agent becomes unresponsive.</w:t>
      </w:r>
    </w:p>
    <w:p>
      <w:pPr>
        <w:pStyle w:val="Heading2"/>
        <w:spacing w:after="160" w:before="360"/>
      </w:pPr>
      <w:bookmarkStart w:id="100053" w:name="_Toc100053"/>
      <w:r>
        <w:rPr>
          <w:rFonts w:ascii="Calibri"/>
          <w:b/>
          <w:bCs/>
          <w:color w:val="0A1628"/>
          <w:sz w:val="30"/>
          <w:szCs w:val="30"/>
        </w:rPr>
        <w:t xml:space="preserve">7.7 Chat History</w:t>
      </w:r>
      <w:bookmarkEnd w:id="100053"/>
    </w:p>
    <w:p>
      <w:pPr>
        <w:spacing w:after="120" w:line="312"/>
        <w:jc w:val="both"/>
      </w:pPr>
      <w:r>
        <w:rPr>
          <w:rFonts w:ascii="Calibri"/>
          <w:color w:val="1A2B40"/>
          <w:sz w:val="22"/>
          <w:szCs w:val="22"/>
        </w:rPr>
        <w:t xml:space="preserve">Persistent conversation history that maintains continuity across multiple customer interactions. When a returning customer starts a new chat, agents can see the full history of previous conversations, including dates, topics discussed, and resolutions provided. This eliminates the frustrating experience of having to repeat information to different agents and enables personalized service. Chat history is linked to the customer's profile, which aggregates data across all channels including web chat, Facebook, Instagram, and email.</w:t>
      </w:r>
    </w:p>
    <w:p>
      <w:pPr>
        <w:pStyle w:val="Heading2"/>
        <w:spacing w:after="160" w:before="360"/>
      </w:pPr>
      <w:bookmarkStart w:id="100054" w:name="_Toc100054"/>
      <w:r>
        <w:rPr>
          <w:rFonts w:ascii="Calibri"/>
          <w:b/>
          <w:bCs/>
          <w:color w:val="0A1628"/>
          <w:sz w:val="30"/>
          <w:szCs w:val="30"/>
        </w:rPr>
        <w:t xml:space="preserve">7.8 Chat Transcripts</w:t>
      </w:r>
      <w:bookmarkEnd w:id="100054"/>
    </w:p>
    <w:p>
      <w:pPr>
        <w:spacing w:after="120" w:line="312"/>
        <w:jc w:val="both"/>
      </w:pPr>
      <w:r>
        <w:rPr>
          <w:rFonts w:ascii="Calibri"/>
          <w:color w:val="1A2B40"/>
          <w:sz w:val="22"/>
          <w:szCs w:val="22"/>
        </w:rPr>
        <w:t xml:space="preserve">Complete conversation records that can be automatically sent to customers via email after a chat concludes. Transcripts serve as a reference for customers, providing them with a written record of the conversation, any links or resources shared, and the steps needed to resolve their issue. For businesses, transcripts provide documentation for compliance, dispute resolution, and quality assurance. The transcript format is customizable and can be branded with the business's logo and contact information.</w:t>
      </w:r>
    </w:p>
    <w:p>
      <w:pPr>
        <w:pStyle w:val="Heading1"/>
        <w:spacing w:after="200" w:before="480"/>
      </w:pPr>
      <w:bookmarkStart w:id="100055" w:name="_Toc100055"/>
      <w:r>
        <w:rPr>
          <w:rFonts w:ascii="Calibri"/>
          <w:b/>
          <w:bCs/>
          <w:color w:val="0A1628"/>
          <w:sz w:val="36"/>
          <w:szCs w:val="36"/>
        </w:rPr>
        <w:t xml:space="preserve">8. Reports and Analytics</w:t>
      </w:r>
      <w:bookmarkEnd w:id="100055"/>
    </w:p>
    <w:p>
      <w:pPr>
        <w:spacing w:after="120" w:line="312"/>
        <w:jc w:val="both"/>
      </w:pPr>
      <w:r>
        <w:rPr>
          <w:rFonts w:ascii="Calibri"/>
          <w:color w:val="1A2B40"/>
          <w:sz w:val="22"/>
          <w:szCs w:val="22"/>
        </w:rPr>
        <w:t xml:space="preserve">LiveChat provides a comprehensive analytics suite that transforms chat data into actionable business intelligence. The reporting system is designed to be accessible to non-technical users while providing the depth needed by data analysts and operations managers.</w:t>
      </w:r>
    </w:p>
    <w:p>
      <w:pPr>
        <w:pStyle w:val="Heading2"/>
        <w:spacing w:after="160" w:before="360"/>
      </w:pPr>
      <w:bookmarkStart w:id="100056" w:name="_Toc100056"/>
      <w:r>
        <w:rPr>
          <w:rFonts w:ascii="Calibri"/>
          <w:b/>
          <w:bCs/>
          <w:color w:val="0A1628"/>
          <w:sz w:val="30"/>
          <w:szCs w:val="30"/>
        </w:rPr>
        <w:t xml:space="preserve">8.1 Data Summary</w:t>
      </w:r>
      <w:bookmarkEnd w:id="100056"/>
    </w:p>
    <w:p>
      <w:pPr>
        <w:spacing w:after="120" w:line="312"/>
        <w:jc w:val="both"/>
      </w:pPr>
      <w:r>
        <w:rPr>
          <w:rFonts w:ascii="Calibri"/>
          <w:color w:val="1A2B40"/>
          <w:sz w:val="22"/>
          <w:szCs w:val="22"/>
        </w:rPr>
        <w:t xml:space="preserve">A high-level dashboard that provides an at-a-glance overview of key performance metrics including total chats, average response time, average resolution time, customer satisfaction score, chat volume trends, and agent availability statistics. The data summary is customizable, allowing managers to pin the metrics most relevant to their business goals and KPIs.</w:t>
      </w:r>
    </w:p>
    <w:p>
      <w:pPr>
        <w:pStyle w:val="Heading2"/>
        <w:spacing w:after="160" w:before="360"/>
      </w:pPr>
      <w:bookmarkStart w:id="100057" w:name="_Toc100057"/>
      <w:r>
        <w:rPr>
          <w:rFonts w:ascii="Calibri"/>
          <w:b/>
          <w:bCs/>
          <w:color w:val="0A1628"/>
          <w:sz w:val="30"/>
          <w:szCs w:val="30"/>
        </w:rPr>
        <w:t xml:space="preserve">8.2 Chat Reports</w:t>
      </w:r>
      <w:bookmarkEnd w:id="100057"/>
    </w:p>
    <w:p>
      <w:pPr>
        <w:spacing w:after="120" w:line="312"/>
        <w:jc w:val="both"/>
      </w:pPr>
      <w:r>
        <w:rPr>
          <w:rFonts w:ascii="Calibri"/>
          <w:color w:val="1A2B40"/>
          <w:sz w:val="22"/>
          <w:szCs w:val="22"/>
        </w:rPr>
        <w:t xml:space="preserve">Detailed reports focused on individual and aggregated chat conversations. Chat reports include metrics such as chat duration, response time, resolution time, messages per chat, transfer count, and customer satisfaction ratings. Reports can be filtered by date range, department, agent, tag, channel, and other dimensions to support deep-dive analysis of specific areas of the support operation.</w:t>
      </w:r>
    </w:p>
    <w:p>
      <w:pPr>
        <w:pStyle w:val="Heading2"/>
        <w:spacing w:after="160" w:before="360"/>
      </w:pPr>
      <w:bookmarkStart w:id="100058" w:name="_Toc100058"/>
      <w:r>
        <w:rPr>
          <w:rFonts w:ascii="Calibri"/>
          <w:b/>
          <w:bCs/>
          <w:color w:val="0A1628"/>
          <w:sz w:val="30"/>
          <w:szCs w:val="30"/>
        </w:rPr>
        <w:t xml:space="preserve">8.3 Data Export</w:t>
      </w:r>
      <w:bookmarkEnd w:id="100058"/>
    </w:p>
    <w:p>
      <w:pPr>
        <w:spacing w:after="120" w:line="312"/>
        <w:jc w:val="both"/>
      </w:pPr>
      <w:r>
        <w:rPr>
          <w:rFonts w:ascii="Calibri"/>
          <w:color w:val="1A2B40"/>
          <w:sz w:val="22"/>
          <w:szCs w:val="22"/>
        </w:rPr>
        <w:t xml:space="preserve">The ability to export raw data and reports in multiple formats including CSV, Excel, and PDF. Data export supports scheduled automatic exports for regular reporting needs, as well as manual exports for ad-hoc analysis. This feature enables businesses to integrate LiveChat data with external BI tools, build custom dashboards, and maintain compliance records.</w:t>
      </w:r>
    </w:p>
    <w:p>
      <w:pPr>
        <w:pStyle w:val="Heading2"/>
        <w:spacing w:after="160" w:before="360"/>
      </w:pPr>
      <w:bookmarkStart w:id="100059" w:name="_Toc100059"/>
      <w:r>
        <w:rPr>
          <w:rFonts w:ascii="Calibri"/>
          <w:b/>
          <w:bCs/>
          <w:color w:val="0A1628"/>
          <w:sz w:val="30"/>
          <w:szCs w:val="30"/>
        </w:rPr>
        <w:t xml:space="preserve">8.4 Agent Reports</w:t>
      </w:r>
      <w:bookmarkEnd w:id="100059"/>
    </w:p>
    <w:p>
      <w:pPr>
        <w:spacing w:after="120" w:line="312"/>
        <w:jc w:val="both"/>
      </w:pPr>
      <w:r>
        <w:rPr>
          <w:rFonts w:ascii="Calibri"/>
          <w:color w:val="1A2B40"/>
          <w:sz w:val="22"/>
          <w:szCs w:val="22"/>
        </w:rPr>
        <w:t xml:space="preserve">Performance metrics for individual agents and team comparisons. Agent reports track metrics such as total chats handled, average response time, average chat rating, first-response time, resolution rate, and chat transfer frequency. These reports are essential for performance management, identifying top performers, recognizing training needs, and conducting fair workload assessments. Supervisors can compare agents side by side to identify coaching opportunities.</w:t>
      </w:r>
    </w:p>
    <w:p>
      <w:pPr>
        <w:pStyle w:val="Heading2"/>
        <w:spacing w:after="160" w:before="360"/>
      </w:pPr>
      <w:bookmarkStart w:id="100060" w:name="_Toc100060"/>
      <w:r>
        <w:rPr>
          <w:rFonts w:ascii="Calibri"/>
          <w:b/>
          <w:bCs/>
          <w:color w:val="0A1628"/>
          <w:sz w:val="30"/>
          <w:szCs w:val="30"/>
        </w:rPr>
        <w:t xml:space="preserve">8.5 Customer Reports</w:t>
      </w:r>
      <w:bookmarkEnd w:id="100060"/>
    </w:p>
    <w:p>
      <w:pPr>
        <w:spacing w:after="120" w:line="312"/>
        <w:jc w:val="both"/>
      </w:pPr>
      <w:r>
        <w:rPr>
          <w:rFonts w:ascii="Calibri"/>
          <w:color w:val="1A2B40"/>
          <w:sz w:val="22"/>
          <w:szCs w:val="22"/>
        </w:rPr>
        <w:t xml:space="preserve">Analytics focused on customer behavior and engagement patterns. Customer reports track metrics such as chat frequency, preferred channels, average time between conversations, most discussed topics, and customer satisfaction trends. These reports help businesses understand their customer base, identify high-value customers, and tailor support strategies to different customer segments.</w:t>
      </w:r>
    </w:p>
    <w:p>
      <w:pPr>
        <w:pStyle w:val="Heading2"/>
        <w:spacing w:after="160" w:before="360"/>
      </w:pPr>
      <w:bookmarkStart w:id="100061" w:name="_Toc100061"/>
      <w:r>
        <w:rPr>
          <w:rFonts w:ascii="Calibri"/>
          <w:b/>
          <w:bCs/>
          <w:color w:val="0A1628"/>
          <w:sz w:val="30"/>
          <w:szCs w:val="30"/>
        </w:rPr>
        <w:t xml:space="preserve">8.6 Ecommerce Reports</w:t>
      </w:r>
      <w:bookmarkEnd w:id="100061"/>
    </w:p>
    <w:p>
      <w:pPr>
        <w:spacing w:after="120" w:line="312"/>
        <w:jc w:val="both"/>
      </w:pPr>
      <w:r>
        <w:rPr>
          <w:rFonts w:ascii="Calibri"/>
          <w:color w:val="1A2B40"/>
          <w:sz w:val="22"/>
          <w:szCs w:val="22"/>
        </w:rPr>
        <w:t xml:space="preserve">Specialized reports for businesses using ecommerce integrations. Ecommerce reports track metrics such as chat-to-purchase conversion rate, revenue generated through chat, average order value of chat-driven purchases, product click-through rates from shared product cards, and cart recovery rates. These reports directly tie LiveChat activity to revenue outcomes, demonstrating the ROI of the live chat investment and identifying opportunities to increase sales.</w:t>
      </w:r>
    </w:p>
    <w:p>
      <w:pPr>
        <w:pStyle w:val="Heading2"/>
        <w:spacing w:after="160" w:before="360"/>
      </w:pPr>
      <w:bookmarkStart w:id="100062" w:name="_Toc100062"/>
      <w:r>
        <w:rPr>
          <w:rFonts w:ascii="Calibri"/>
          <w:b/>
          <w:bCs/>
          <w:color w:val="0A1628"/>
          <w:sz w:val="30"/>
          <w:szCs w:val="30"/>
        </w:rPr>
        <w:t xml:space="preserve">8.7 Filters</w:t>
      </w:r>
      <w:bookmarkEnd w:id="100062"/>
    </w:p>
    <w:p>
      <w:pPr>
        <w:spacing w:after="120" w:line="312"/>
        <w:jc w:val="both"/>
      </w:pPr>
      <w:r>
        <w:rPr>
          <w:rFonts w:ascii="Calibri"/>
          <w:color w:val="1A2B40"/>
          <w:sz w:val="22"/>
          <w:szCs w:val="22"/>
        </w:rPr>
        <w:t xml:space="preserve">Advanced filtering capabilities that allow managers to slice and dice data across multiple dimensions. Filters can be applied to date ranges, time periods, agents, departments, tags, channels, customer segments, chat ratings, and custom properties. Filters can be combined and saved for recurring reports, making it easy to track specific metrics over time.</w:t>
      </w:r>
    </w:p>
    <w:p>
      <w:pPr>
        <w:pStyle w:val="Heading2"/>
        <w:spacing w:after="160" w:before="360"/>
      </w:pPr>
      <w:bookmarkStart w:id="100063" w:name="_Toc100063"/>
      <w:r>
        <w:rPr>
          <w:rFonts w:ascii="Calibri"/>
          <w:b/>
          <w:bCs/>
          <w:color w:val="0A1628"/>
          <w:sz w:val="30"/>
          <w:szCs w:val="30"/>
        </w:rPr>
        <w:t xml:space="preserve">8.8 Dashboard</w:t>
      </w:r>
      <w:bookmarkEnd w:id="100063"/>
    </w:p>
    <w:p>
      <w:pPr>
        <w:spacing w:after="120" w:line="312"/>
        <w:jc w:val="both"/>
      </w:pPr>
      <w:r>
        <w:rPr>
          <w:rFonts w:ascii="Calibri"/>
          <w:color w:val="1A2B40"/>
          <w:sz w:val="22"/>
          <w:szCs w:val="22"/>
        </w:rPr>
        <w:t xml:space="preserve">A customizable analytics dashboard that brings together the most important metrics, charts, and reports in a single view. The dashboard supports drag-and-drop widget placement, configurable date ranges, and real-time data updates. Managers can create multiple dashboards for different purposes, such as an executive overview, a department-level view, or a real-time operations center.</w:t>
      </w:r>
    </w:p>
    <w:p>
      <w:pPr>
        <w:pStyle w:val="Heading2"/>
        <w:spacing w:after="160" w:before="360"/>
      </w:pPr>
      <w:bookmarkStart w:id="100064" w:name="_Toc100064"/>
      <w:r>
        <w:rPr>
          <w:rFonts w:ascii="Calibri"/>
          <w:b/>
          <w:bCs/>
          <w:color w:val="0A1628"/>
          <w:sz w:val="30"/>
          <w:szCs w:val="30"/>
        </w:rPr>
        <w:t xml:space="preserve">8.9 Sales Tracker</w:t>
      </w:r>
      <w:bookmarkEnd w:id="100064"/>
    </w:p>
    <w:p>
      <w:pPr>
        <w:spacing w:after="120" w:line="312"/>
        <w:jc w:val="both"/>
      </w:pPr>
      <w:r>
        <w:rPr>
          <w:rFonts w:ascii="Calibri"/>
          <w:color w:val="1A2B40"/>
          <w:sz w:val="22"/>
          <w:szCs w:val="22"/>
        </w:rPr>
        <w:t xml:space="preserve">A dedicated sales-focused reporting feature that tracks revenue generated through LiveChat interactions. The sales tracker monitors the entire sales funnel from chat initiation to completed purchase, tracking metrics such as the number of sales attributed to chat, total revenue, average order value, and product-level performance. This feature provides clear ROI data and helps optimize the sales strategy within the chat channel.</w:t>
      </w:r>
    </w:p>
    <w:p>
      <w:pPr>
        <w:pStyle w:val="Heading2"/>
        <w:spacing w:after="160" w:before="360"/>
      </w:pPr>
      <w:bookmarkStart w:id="100065" w:name="_Toc100065"/>
      <w:r>
        <w:rPr>
          <w:rFonts w:ascii="Calibri"/>
          <w:b/>
          <w:bCs/>
          <w:color w:val="0A1628"/>
          <w:sz w:val="30"/>
          <w:szCs w:val="30"/>
        </w:rPr>
        <w:t xml:space="preserve">8.10 Agent Performance</w:t>
      </w:r>
      <w:bookmarkEnd w:id="100065"/>
    </w:p>
    <w:p>
      <w:pPr>
        <w:spacing w:after="120" w:line="312"/>
        <w:jc w:val="both"/>
      </w:pPr>
      <w:r>
        <w:rPr>
          <w:rFonts w:ascii="Calibri"/>
          <w:color w:val="1A2B40"/>
          <w:sz w:val="22"/>
          <w:szCs w:val="22"/>
        </w:rPr>
        <w:t xml:space="preserve">Detailed agent-level analytics that track individual productivity and quality metrics. The agent performance module provides a comprehensive view of each agent's activity including chat volume, handling time, average rating, and comparison against team averages. This enables data-driven performance management and targeted coaching.</w:t>
      </w:r>
    </w:p>
    <w:p>
      <w:pPr>
        <w:pStyle w:val="Heading2"/>
        <w:spacing w:after="160" w:before="360"/>
      </w:pPr>
      <w:bookmarkStart w:id="100066" w:name="_Toc100066"/>
      <w:r>
        <w:rPr>
          <w:rFonts w:ascii="Calibri"/>
          <w:b/>
          <w:bCs/>
          <w:color w:val="0A1628"/>
          <w:sz w:val="30"/>
          <w:szCs w:val="30"/>
        </w:rPr>
        <w:t xml:space="preserve">8.11 Campaign Conversion</w:t>
      </w:r>
      <w:bookmarkEnd w:id="100066"/>
    </w:p>
    <w:p>
      <w:pPr>
        <w:spacing w:after="120" w:line="312"/>
        <w:jc w:val="both"/>
      </w:pPr>
      <w:r>
        <w:rPr>
          <w:rFonts w:ascii="Calibri"/>
          <w:color w:val="1A2B40"/>
          <w:sz w:val="22"/>
          <w:szCs w:val="22"/>
        </w:rPr>
        <w:t xml:space="preserve">Tracking the effectiveness of proactive engagement campaigns by measuring how many chats and conversions each campaign generates. This feature helps optimize the timing, targeting, and messaging of proactive chat invitations, ensuring maximum impact from engagement efforts.</w:t>
      </w:r>
    </w:p>
    <w:p>
      <w:pPr>
        <w:pStyle w:val="Heading2"/>
        <w:spacing w:after="160" w:before="360"/>
      </w:pPr>
      <w:bookmarkStart w:id="100067" w:name="_Toc100067"/>
      <w:r>
        <w:rPr>
          <w:rFonts w:ascii="Calibri"/>
          <w:b/>
          <w:bCs/>
          <w:color w:val="0A1628"/>
          <w:sz w:val="30"/>
          <w:szCs w:val="30"/>
        </w:rPr>
        <w:t xml:space="preserve">8.12 Chat Engagement</w:t>
      </w:r>
      <w:bookmarkEnd w:id="100067"/>
    </w:p>
    <w:p>
      <w:pPr>
        <w:spacing w:after="120" w:line="312"/>
        <w:jc w:val="both"/>
      </w:pPr>
      <w:r>
        <w:rPr>
          <w:rFonts w:ascii="Calibri"/>
          <w:color w:val="1A2B40"/>
          <w:sz w:val="22"/>
          <w:szCs w:val="22"/>
        </w:rPr>
        <w:t xml:space="preserve">Metrics that measure overall engagement levels including chat acceptance rate, chat decline rate, average messages per conversation, and customer return rate. These metrics help businesses understand how effectively they are engaging customers and identify opportunities to increase chat volume.</w:t>
      </w:r>
    </w:p>
    <w:p>
      <w:pPr>
        <w:pStyle w:val="Heading2"/>
        <w:spacing w:after="160" w:before="360"/>
      </w:pPr>
      <w:bookmarkStart w:id="100068" w:name="_Toc100068"/>
      <w:r>
        <w:rPr>
          <w:rFonts w:ascii="Calibri"/>
          <w:b/>
          <w:bCs/>
          <w:color w:val="0A1628"/>
          <w:sz w:val="30"/>
          <w:szCs w:val="30"/>
        </w:rPr>
        <w:t xml:space="preserve">8.13 Chat Satisfaction</w:t>
      </w:r>
      <w:bookmarkEnd w:id="100068"/>
    </w:p>
    <w:p>
      <w:pPr>
        <w:spacing w:after="120" w:line="312"/>
        <w:jc w:val="both"/>
      </w:pPr>
      <w:r>
        <w:rPr>
          <w:rFonts w:ascii="Calibri"/>
          <w:color w:val="1A2B40"/>
          <w:sz w:val="22"/>
          <w:szCs w:val="22"/>
        </w:rPr>
        <w:t xml:space="preserve">Aggregated customer satisfaction scores derived from post-chat ratings. This metric provides a holistic view of customer sentiment and helps track improvements in service quality over time. Satisfaction scores can be segmented by agent, department, channel, and time period.</w:t>
      </w:r>
    </w:p>
    <w:p>
      <w:pPr>
        <w:pStyle w:val="Heading2"/>
        <w:spacing w:after="160" w:before="360"/>
      </w:pPr>
      <w:bookmarkStart w:id="100069" w:name="_Toc100069"/>
      <w:r>
        <w:rPr>
          <w:rFonts w:ascii="Calibri"/>
          <w:b/>
          <w:bCs/>
          <w:color w:val="0A1628"/>
          <w:sz w:val="30"/>
          <w:szCs w:val="30"/>
        </w:rPr>
        <w:t xml:space="preserve">8.14 Achieved Goals</w:t>
      </w:r>
      <w:bookmarkEnd w:id="100069"/>
    </w:p>
    <w:p>
      <w:pPr>
        <w:spacing w:after="120" w:line="312"/>
        <w:jc w:val="both"/>
      </w:pPr>
      <w:r>
        <w:rPr>
          <w:rFonts w:ascii="Calibri"/>
          <w:color w:val="1A2B40"/>
          <w:sz w:val="22"/>
          <w:szCs w:val="22"/>
        </w:rPr>
        <w:t xml:space="preserve">Tracking progress against custom business goals set up within LiveChat. Goals can be defined for any trackable metric such as sales targets, response time benchmarks, or customer satisfaction thresholds. The achieved goals report shows how close the team is to reaching each goal, providing motivation and accountability.</w:t>
      </w:r>
    </w:p>
    <w:p>
      <w:pPr>
        <w:pStyle w:val="Heading2"/>
        <w:spacing w:after="160" w:before="360"/>
      </w:pPr>
      <w:bookmarkStart w:id="100070" w:name="_Toc100070"/>
      <w:r>
        <w:rPr>
          <w:rFonts w:ascii="Calibri"/>
          <w:b/>
          <w:bCs/>
          <w:color w:val="0A1628"/>
          <w:sz w:val="30"/>
          <w:szCs w:val="30"/>
        </w:rPr>
        <w:t xml:space="preserve">8.15 Staffing Prediction</w:t>
      </w:r>
      <w:bookmarkEnd w:id="100070"/>
    </w:p>
    <w:p>
      <w:pPr>
        <w:spacing w:after="120" w:line="312"/>
        <w:jc w:val="both"/>
      </w:pPr>
      <w:r>
        <w:rPr>
          <w:rFonts w:ascii="Calibri"/>
          <w:color w:val="1A2B40"/>
          <w:sz w:val="22"/>
          <w:szCs w:val="22"/>
        </w:rPr>
        <w:t xml:space="preserve">AI-powered workforce management that predicts the optimal number of agents needed based on historical chat volume data and trends. This feature helps managers plan shift schedules, avoid understaffing during peak periods, and optimize labor costs by accurately forecasting workload requirements.</w:t>
      </w:r>
    </w:p>
    <w:p>
      <w:pPr>
        <w:pStyle w:val="Heading2"/>
        <w:spacing w:after="160" w:before="360"/>
      </w:pPr>
      <w:bookmarkStart w:id="100071" w:name="_Toc100071"/>
      <w:r>
        <w:rPr>
          <w:rFonts w:ascii="Calibri"/>
          <w:b/>
          <w:bCs/>
          <w:color w:val="0A1628"/>
          <w:sz w:val="30"/>
          <w:szCs w:val="30"/>
        </w:rPr>
        <w:t xml:space="preserve">8.16 Website Traffic</w:t>
      </w:r>
      <w:bookmarkEnd w:id="100071"/>
    </w:p>
    <w:p>
      <w:pPr>
        <w:spacing w:after="120" w:line="312"/>
        <w:jc w:val="both"/>
      </w:pPr>
      <w:r>
        <w:rPr>
          <w:rFonts w:ascii="Calibri"/>
          <w:color w:val="1A2B40"/>
          <w:sz w:val="22"/>
          <w:szCs w:val="22"/>
        </w:rPr>
        <w:t xml:space="preserve">Integration with website analytics that provides context about the volume and source of website visitors. The website traffic feature estimates chat capacity based on current visitor numbers and helps businesses understand the relationship between site traffic and chat volume, enabling proactive staffing adjustments.</w:t>
      </w:r>
    </w:p>
    <w:p>
      <w:pPr>
        <w:pStyle w:val="Heading1"/>
        <w:spacing w:after="200" w:before="480"/>
      </w:pPr>
      <w:bookmarkStart w:id="100072" w:name="_Toc100072"/>
      <w:r>
        <w:rPr>
          <w:rFonts w:ascii="Calibri"/>
          <w:b/>
          <w:bCs/>
          <w:color w:val="0A1628"/>
          <w:sz w:val="36"/>
          <w:szCs w:val="36"/>
        </w:rPr>
        <w:t xml:space="preserve">9. Sales and Ecommerce Features</w:t>
      </w:r>
      <w:bookmarkEnd w:id="100072"/>
    </w:p>
    <w:p>
      <w:pPr>
        <w:spacing w:after="120" w:line="312"/>
        <w:jc w:val="both"/>
      </w:pPr>
      <w:r>
        <w:rPr>
          <w:rFonts w:ascii="Calibri"/>
          <w:color w:val="1A2B40"/>
          <w:sz w:val="22"/>
          <w:szCs w:val="22"/>
        </w:rPr>
        <w:t xml:space="preserve">LiveChat includes a robust set of features specifically designed to support sales teams and ecommerce businesses, transforming the chat platform from a support tool into a revenue-generating channel.</w:t>
      </w:r>
    </w:p>
    <w:p>
      <w:pPr>
        <w:pStyle w:val="Heading2"/>
        <w:spacing w:after="160" w:before="360"/>
      </w:pPr>
      <w:bookmarkStart w:id="100073" w:name="_Toc100073"/>
      <w:r>
        <w:rPr>
          <w:rFonts w:ascii="Calibri"/>
          <w:b/>
          <w:bCs/>
          <w:color w:val="0A1628"/>
          <w:sz w:val="30"/>
          <w:szCs w:val="30"/>
        </w:rPr>
        <w:t xml:space="preserve">9.1 Customer Data</w:t>
      </w:r>
      <w:bookmarkEnd w:id="100073"/>
    </w:p>
    <w:p>
      <w:pPr>
        <w:spacing w:after="120" w:line="312"/>
        <w:jc w:val="both"/>
      </w:pPr>
      <w:r>
        <w:rPr>
          <w:rFonts w:ascii="Calibri"/>
          <w:color w:val="1A2B40"/>
          <w:sz w:val="22"/>
          <w:szCs w:val="22"/>
        </w:rPr>
        <w:t xml:space="preserve">Rich customer profiles that aggregate data from all interactions and integrations. Customer data includes basic information (name, email, location), browsing behavior (current page, pages visited, time on site), conversation history (all past chats across all channels), ecommerce data (cart contents, order history, total lifetime value), and custom properties from CRM integrations. This comprehensive customer view enables agents to personalize their approach and make informed recommendations.</w:t>
      </w:r>
    </w:p>
    <w:p>
      <w:pPr>
        <w:pStyle w:val="Heading2"/>
        <w:spacing w:after="160" w:before="360"/>
      </w:pPr>
      <w:bookmarkStart w:id="100074" w:name="_Toc100074"/>
      <w:r>
        <w:rPr>
          <w:rFonts w:ascii="Calibri"/>
          <w:b/>
          <w:bCs/>
          <w:color w:val="0A1628"/>
          <w:sz w:val="30"/>
          <w:szCs w:val="30"/>
        </w:rPr>
        <w:t xml:space="preserve">9.2 Product Cards</w:t>
      </w:r>
      <w:bookmarkEnd w:id="100074"/>
    </w:p>
    <w:p>
      <w:pPr>
        <w:spacing w:after="120" w:line="312"/>
        <w:jc w:val="both"/>
      </w:pPr>
      <w:r>
        <w:rPr>
          <w:rFonts w:ascii="Calibri"/>
          <w:color w:val="1A2B40"/>
          <w:sz w:val="22"/>
          <w:szCs w:val="22"/>
        </w:rPr>
        <w:t xml:space="preserve">Interactive product showcases that agents can share directly within chat conversations. Product cards display the product image, name, price, description, and an add-to-cart or buy-now button. When customers click the button, the product is automatically added to their shopping cart on the connected ecommerce platform. Product cards turn chat into a visual sales experience, allowing agents to recommend specific products, compare options, and guide purchase decisions in real-time.</w:t>
      </w:r>
    </w:p>
    <w:p>
      <w:pPr>
        <w:pStyle w:val="Heading2"/>
        <w:spacing w:after="160" w:before="360"/>
      </w:pPr>
      <w:bookmarkStart w:id="100075" w:name="_Toc100075"/>
      <w:r>
        <w:rPr>
          <w:rFonts w:ascii="Calibri"/>
          <w:b/>
          <w:bCs/>
          <w:color w:val="0A1628"/>
          <w:sz w:val="30"/>
          <w:szCs w:val="30"/>
        </w:rPr>
        <w:t xml:space="preserve">9.3 Ecommerce Integrations</w:t>
      </w:r>
      <w:bookmarkEnd w:id="100075"/>
    </w:p>
    <w:p>
      <w:pPr>
        <w:spacing w:after="120" w:line="312"/>
        <w:jc w:val="both"/>
      </w:pPr>
      <w:r>
        <w:rPr>
          <w:rFonts w:ascii="Calibri"/>
          <w:color w:val="1A2B40"/>
          <w:sz w:val="22"/>
          <w:szCs w:val="22"/>
        </w:rPr>
        <w:t xml:space="preserve">Deep integrations with major ecommerce platforms including Shopify, BigCommerce, WooCommerce, Squarespace, and more. These integrations enable automatic data synchronization of customer information, order details, cart contents, and product catalogs between the ecommerce platform and LiveChat. Agents can see what products a customer is viewing, what's in their cart, their order history, and their account status without asking. They can also perform actions such as creating orders, modifying carts, and processing returns directly from the chat interface.</w:t>
      </w:r>
    </w:p>
    <w:p>
      <w:pPr>
        <w:pStyle w:val="Heading2"/>
        <w:spacing w:after="160" w:before="360"/>
      </w:pPr>
      <w:bookmarkStart w:id="100076" w:name="_Toc100076"/>
      <w:r>
        <w:rPr>
          <w:rFonts w:ascii="Calibri"/>
          <w:b/>
          <w:bCs/>
          <w:color w:val="0A1628"/>
          <w:sz w:val="30"/>
          <w:szCs w:val="30"/>
        </w:rPr>
        <w:t xml:space="preserve">9.4 Goals and Sales Tracker</w:t>
      </w:r>
      <w:bookmarkEnd w:id="100076"/>
    </w:p>
    <w:p>
      <w:pPr>
        <w:spacing w:after="120" w:line="312"/>
        <w:jc w:val="both"/>
      </w:pPr>
      <w:r>
        <w:rPr>
          <w:rFonts w:ascii="Calibri"/>
          <w:color w:val="1A2B40"/>
          <w:sz w:val="22"/>
          <w:szCs w:val="22"/>
        </w:rPr>
        <w:t xml:space="preserve">A goal-setting and tracking system that allows businesses to define custom objectives and monitor their achievement. Sales goals can include targets for revenue generated through chat, number of sales, conversion rates, and average order value. The sales tracker provides real-time progress updates and visual indicators showing how close the team is to reaching each goal. This feature creates accountability and motivation within the sales team.</w:t>
      </w:r>
    </w:p>
    <w:p>
      <w:pPr>
        <w:pStyle w:val="Heading1"/>
        <w:spacing w:after="200" w:before="480"/>
      </w:pPr>
      <w:bookmarkStart w:id="100077" w:name="_Toc100077"/>
      <w:r>
        <w:rPr>
          <w:rFonts w:ascii="Calibri"/>
          <w:b/>
          <w:bCs/>
          <w:color w:val="0A1628"/>
          <w:sz w:val="36"/>
          <w:szCs w:val="36"/>
        </w:rPr>
        <w:t xml:space="preserve">10. Team Management</w:t>
      </w:r>
      <w:bookmarkEnd w:id="100077"/>
    </w:p>
    <w:p>
      <w:pPr>
        <w:spacing w:after="120" w:line="312"/>
        <w:jc w:val="both"/>
      </w:pPr>
      <w:r>
        <w:rPr>
          <w:rFonts w:ascii="Calibri"/>
          <w:color w:val="1A2B40"/>
          <w:sz w:val="22"/>
          <w:szCs w:val="22"/>
        </w:rPr>
        <w:t xml:space="preserve">Comprehensive tools for organizing, managing, and scaling support teams. These features ensure that the support operation runs efficiently as the team grows.</w:t>
      </w:r>
    </w:p>
    <w:p>
      <w:pPr>
        <w:pStyle w:val="Heading2"/>
        <w:spacing w:after="160" w:before="360"/>
      </w:pPr>
      <w:bookmarkStart w:id="100078" w:name="_Toc100078"/>
      <w:r>
        <w:rPr>
          <w:rFonts w:ascii="Calibri"/>
          <w:b/>
          <w:bCs/>
          <w:color w:val="0A1628"/>
          <w:sz w:val="30"/>
          <w:szCs w:val="30"/>
        </w:rPr>
        <w:t xml:space="preserve">10.1 Agent Accounts</w:t>
      </w:r>
      <w:bookmarkEnd w:id="100078"/>
    </w:p>
    <w:p>
      <w:pPr>
        <w:spacing w:after="120" w:line="312"/>
        <w:jc w:val="both"/>
      </w:pPr>
      <w:r>
        <w:rPr>
          <w:rFonts w:ascii="Calibri"/>
          <w:color w:val="1A2B40"/>
          <w:sz w:val="22"/>
          <w:szCs w:val="22"/>
        </w:rPr>
        <w:t xml:space="preserve">Individual accounts for each team member with customizable permissions and settings. Agent accounts include personal settings (display name, avatar, notification preferences), role-based access control (determining which features the agent can access), performance metrics tracking, and status management (online, away, offline). Administrators can create, modify, and deactivate agent accounts as team composition changes.</w:t>
      </w:r>
    </w:p>
    <w:p>
      <w:pPr>
        <w:pStyle w:val="Heading2"/>
        <w:spacing w:after="160" w:before="360"/>
      </w:pPr>
      <w:bookmarkStart w:id="100079" w:name="_Toc100079"/>
      <w:r>
        <w:rPr>
          <w:rFonts w:ascii="Calibri"/>
          <w:b/>
          <w:bCs/>
          <w:color w:val="0A1628"/>
          <w:sz w:val="30"/>
          <w:szCs w:val="30"/>
        </w:rPr>
        <w:t xml:space="preserve">10.2 Groups (Departments)</w:t>
      </w:r>
      <w:bookmarkEnd w:id="100079"/>
    </w:p>
    <w:p>
      <w:pPr>
        <w:spacing w:after="120" w:line="312"/>
        <w:jc w:val="both"/>
      </w:pPr>
      <w:r>
        <w:rPr>
          <w:rFonts w:ascii="Calibri"/>
          <w:color w:val="1A2B40"/>
          <w:sz w:val="22"/>
          <w:szCs w:val="22"/>
        </w:rPr>
        <w:t xml:space="preserve">Organizational units that group agents by function, expertise, or business unit. Common department examples include Sales, Technical Support, Billing, Customer Success, and VIP Support. Groups can have dedicated routing rules, shared canned responses, custom operating hours, and separate reporting. This organizational structure ensures that customers are directed to the most appropriate team and that management has clear visibility into each department's performance.</w:t>
      </w:r>
    </w:p>
    <w:p>
      <w:pPr>
        <w:pStyle w:val="Heading2"/>
        <w:spacing w:after="160" w:before="360"/>
      </w:pPr>
      <w:bookmarkStart w:id="100080" w:name="_Toc100080"/>
      <w:r>
        <w:rPr>
          <w:rFonts w:ascii="Calibri"/>
          <w:b/>
          <w:bCs/>
          <w:color w:val="0A1628"/>
          <w:sz w:val="30"/>
          <w:szCs w:val="30"/>
        </w:rPr>
        <w:t xml:space="preserve">10.3 Chat Supervision</w:t>
      </w:r>
      <w:bookmarkEnd w:id="100080"/>
    </w:p>
    <w:p>
      <w:pPr>
        <w:spacing w:after="120" w:line="312"/>
        <w:jc w:val="both"/>
      </w:pPr>
      <w:r>
        <w:rPr>
          <w:rFonts w:ascii="Calibri"/>
          <w:color w:val="1A2B40"/>
          <w:sz w:val="22"/>
          <w:szCs w:val="22"/>
        </w:rPr>
        <w:t xml:space="preserve">Supervisory tools that allow managers to monitor agent activity in real-time. Supervisors can view active chats, access agent performance metrics, review chat transcripts, and provide coaching feedback. Supervision features include the ability to join or take over conversations when intervention is needed, whisper messages to guide agents during active chats, and detailed activity logs for compliance auditing.</w:t>
      </w:r>
    </w:p>
    <w:p>
      <w:pPr>
        <w:pStyle w:val="Heading2"/>
        <w:spacing w:after="160" w:before="360"/>
      </w:pPr>
      <w:bookmarkStart w:id="100081" w:name="_Toc100081"/>
      <w:r>
        <w:rPr>
          <w:rFonts w:ascii="Calibri"/>
          <w:b/>
          <w:bCs/>
          <w:color w:val="0A1628"/>
          <w:sz w:val="30"/>
          <w:szCs w:val="30"/>
        </w:rPr>
        <w:t xml:space="preserve">10.4 Agent Roles and Permissions</w:t>
      </w:r>
      <w:bookmarkEnd w:id="100081"/>
    </w:p>
    <w:p>
      <w:pPr>
        <w:spacing w:after="120" w:line="312"/>
        <w:jc w:val="both"/>
      </w:pPr>
      <w:r>
        <w:rPr>
          <w:rFonts w:ascii="Calibri"/>
          <w:color w:val="1A2B40"/>
          <w:sz w:val="22"/>
          <w:szCs w:val="22"/>
        </w:rPr>
        <w:t xml:space="preserve">A role-based access control system that defines what each agent can see and do within the LiveChat application. Available roles typically include Owner (full administrative access), Administrator (manage settings, agents, and integrations), Supervisor (monitor chats and manage team), and Agent (handle customer conversations). Custom roles can be created with granular permission settings, allowing businesses to tailor access levels to their specific organizational structure.</w:t>
      </w:r>
    </w:p>
    <w:p>
      <w:pPr>
        <w:pStyle w:val="Heading2"/>
        <w:spacing w:after="160" w:before="360"/>
      </w:pPr>
      <w:bookmarkStart w:id="100082" w:name="_Toc100082"/>
      <w:r>
        <w:rPr>
          <w:rFonts w:ascii="Calibri"/>
          <w:b/>
          <w:bCs/>
          <w:color w:val="0A1628"/>
          <w:sz w:val="30"/>
          <w:szCs w:val="30"/>
        </w:rPr>
        <w:t xml:space="preserve">10.5 Chat Limit</w:t>
      </w:r>
      <w:bookmarkEnd w:id="100082"/>
    </w:p>
    <w:p>
      <w:pPr>
        <w:spacing w:after="120" w:line="312"/>
        <w:jc w:val="both"/>
      </w:pPr>
      <w:r>
        <w:rPr>
          <w:rFonts w:ascii="Calibri"/>
          <w:color w:val="1A2B40"/>
          <w:sz w:val="22"/>
          <w:szCs w:val="22"/>
        </w:rPr>
        <w:t xml:space="preserve">The ability to set a maximum number of concurrent chats that an agent can handle simultaneously. Chat limits prevent agent overload and ensure that response quality remains high. Different limits can be set for different agents based on experience level or role, with senior agents typically handling more concurrent chats than newer team members. The system automatically queues incoming chats when all available agents reach their chat limit.</w:t>
      </w:r>
    </w:p>
    <w:p>
      <w:pPr>
        <w:pStyle w:val="Heading2"/>
        <w:spacing w:after="160" w:before="360"/>
      </w:pPr>
      <w:bookmarkStart w:id="100083" w:name="_Toc100083"/>
      <w:r>
        <w:rPr>
          <w:rFonts w:ascii="Calibri"/>
          <w:b/>
          <w:bCs/>
          <w:color w:val="0A1628"/>
          <w:sz w:val="30"/>
          <w:szCs w:val="30"/>
        </w:rPr>
        <w:t xml:space="preserve">10.6 Work Scheduler</w:t>
      </w:r>
      <w:bookmarkEnd w:id="100083"/>
    </w:p>
    <w:p>
      <w:pPr>
        <w:spacing w:after="120" w:line="312"/>
        <w:jc w:val="both"/>
      </w:pPr>
      <w:r>
        <w:rPr>
          <w:rFonts w:ascii="Calibri"/>
          <w:color w:val="1A2B40"/>
          <w:sz w:val="22"/>
          <w:szCs w:val="22"/>
        </w:rPr>
        <w:t xml:space="preserve">A scheduling system for managing agent availability and shift planning. The work scheduler allows administrators to define working hours for each agent or department, configure automatic status changes (online/offline) based on schedules, set up holiday and vacation schedules, and create rotation patterns for 24/7 coverage. This ensures that customer expectations around availability are always met and that staffing is optimized for chat volume patterns.</w:t>
      </w:r>
    </w:p>
    <w:p>
      <w:pPr>
        <w:pStyle w:val="Heading1"/>
        <w:spacing w:after="200" w:before="480"/>
      </w:pPr>
      <w:bookmarkStart w:id="100084" w:name="_Toc100084"/>
      <w:r>
        <w:rPr>
          <w:rFonts w:ascii="Calibri"/>
          <w:b/>
          <w:bCs/>
          <w:color w:val="0A1628"/>
          <w:sz w:val="36"/>
          <w:szCs w:val="36"/>
        </w:rPr>
        <w:t xml:space="preserve">11. Security and Compliance</w:t>
      </w:r>
      <w:bookmarkEnd w:id="100084"/>
    </w:p>
    <w:p>
      <w:pPr>
        <w:spacing w:after="120" w:line="312"/>
        <w:jc w:val="both"/>
      </w:pPr>
      <w:r>
        <w:rPr>
          <w:rFonts w:ascii="Calibri"/>
          <w:color w:val="1A2B40"/>
          <w:sz w:val="22"/>
          <w:szCs w:val="22"/>
        </w:rPr>
        <w:t xml:space="preserve">LiveChat implements enterprise-grade security measures and holds multiple industry compliance certifications, ensuring that customer data is protected at all times.</w:t>
      </w:r>
    </w:p>
    <w:p>
      <w:pPr>
        <w:pStyle w:val="Heading2"/>
        <w:spacing w:after="160" w:before="360"/>
      </w:pPr>
      <w:bookmarkStart w:id="100085" w:name="_Toc100085"/>
      <w:r>
        <w:rPr>
          <w:rFonts w:ascii="Calibri"/>
          <w:b/>
          <w:bCs/>
          <w:color w:val="0A1628"/>
          <w:sz w:val="30"/>
          <w:szCs w:val="30"/>
        </w:rPr>
        <w:t xml:space="preserve">11.1 SSL Encryption</w:t>
      </w:r>
      <w:bookmarkEnd w:id="100085"/>
    </w:p>
    <w:p>
      <w:pPr>
        <w:spacing w:after="120" w:line="312"/>
        <w:jc w:val="both"/>
      </w:pPr>
      <w:r>
        <w:rPr>
          <w:rFonts w:ascii="Calibri"/>
          <w:color w:val="1A2B40"/>
          <w:sz w:val="22"/>
          <w:szCs w:val="22"/>
        </w:rPr>
        <w:t xml:space="preserve">Every connection to LiveChat servers is encrypted using 256-bit SSL/TLS protocol. This applies to both agent connections to the application and customer connections to the chat widget, ensuring that all data in transit is protected against interception. The encryption is applied comprehensively across all channels and platforms.</w:t>
      </w:r>
    </w:p>
    <w:p>
      <w:pPr>
        <w:pStyle w:val="Heading2"/>
        <w:spacing w:after="160" w:before="360"/>
      </w:pPr>
      <w:bookmarkStart w:id="100086" w:name="_Toc100086"/>
      <w:r>
        <w:rPr>
          <w:rFonts w:ascii="Calibri"/>
          <w:b/>
          <w:bCs/>
          <w:color w:val="0A1628"/>
          <w:sz w:val="30"/>
          <w:szCs w:val="30"/>
        </w:rPr>
        <w:t xml:space="preserve">11.2 Credit Card Masking</w:t>
      </w:r>
      <w:bookmarkEnd w:id="100086"/>
    </w:p>
    <w:p>
      <w:pPr>
        <w:spacing w:after="120" w:line="312"/>
        <w:jc w:val="both"/>
      </w:pPr>
      <w:r>
        <w:rPr>
          <w:rFonts w:ascii="Calibri"/>
          <w:color w:val="1A2B40"/>
          <w:sz w:val="22"/>
          <w:szCs w:val="22"/>
        </w:rPr>
        <w:t xml:space="preserve">An automatic security feature that detects when a customer enters credit card numbers in the chat and masks the sensitive data. Only the last few digits remain visible for identification purposes, preventing accidental exposure of payment information. The masking is performed in real-time by the LiveChat system, providing a safety net even when agents or customers share sensitive financial data without intending to.</w:t>
      </w:r>
    </w:p>
    <w:p>
      <w:pPr>
        <w:pStyle w:val="Heading2"/>
        <w:spacing w:after="160" w:before="360"/>
      </w:pPr>
      <w:bookmarkStart w:id="100087" w:name="_Toc100087"/>
      <w:r>
        <w:rPr>
          <w:rFonts w:ascii="Calibri"/>
          <w:b/>
          <w:bCs/>
          <w:color w:val="0A1628"/>
          <w:sz w:val="30"/>
          <w:szCs w:val="30"/>
        </w:rPr>
        <w:t xml:space="preserve">11.3 Data Centers (US and Europe)</w:t>
      </w:r>
      <w:bookmarkEnd w:id="100087"/>
    </w:p>
    <w:p>
      <w:pPr>
        <w:spacing w:after="120" w:line="312"/>
        <w:jc w:val="both"/>
      </w:pPr>
      <w:r>
        <w:rPr>
          <w:rFonts w:ascii="Calibri"/>
          <w:color w:val="1A2B40"/>
          <w:sz w:val="22"/>
          <w:szCs w:val="22"/>
        </w:rPr>
        <w:t xml:space="preserve">Businesses can choose where their data is stored, with options for data centers in the United States or the European Union. The European data center option ensures compliance with EU data protection regulations, including the Data Protection Directive and the e-Privacy Directive. This geographic data residency control is essential for businesses that must comply with regional data sovereignty requirements.</w:t>
      </w:r>
    </w:p>
    <w:p>
      <w:pPr>
        <w:pStyle w:val="Heading2"/>
        <w:spacing w:after="160" w:before="360"/>
      </w:pPr>
      <w:bookmarkStart w:id="100088" w:name="_Toc100088"/>
      <w:r>
        <w:rPr>
          <w:rFonts w:ascii="Calibri"/>
          <w:b/>
          <w:bCs/>
          <w:color w:val="0A1628"/>
          <w:sz w:val="30"/>
          <w:szCs w:val="30"/>
        </w:rPr>
        <w:t xml:space="preserve">11.4 IP-Based Access Restriction</w:t>
      </w:r>
      <w:bookmarkEnd w:id="100088"/>
    </w:p>
    <w:p>
      <w:pPr>
        <w:spacing w:after="120" w:line="312"/>
        <w:jc w:val="both"/>
      </w:pPr>
      <w:r>
        <w:rPr>
          <w:rFonts w:ascii="Calibri"/>
          <w:color w:val="1A2B40"/>
          <w:sz w:val="22"/>
          <w:szCs w:val="22"/>
        </w:rPr>
        <w:t xml:space="preserve">Administrators can limit LiveChat access to specific IP addresses, ensuring that agents can only log in from authorized and secure devices. This prevents unauthorized access from unknown locations and is particularly important for preventing credential theft or account sharing. IP restrictions can be configured at the account level with support for both allowlists and blocklists.</w:t>
      </w:r>
    </w:p>
    <w:p>
      <w:pPr>
        <w:pStyle w:val="Heading2"/>
        <w:spacing w:after="160" w:before="360"/>
      </w:pPr>
      <w:bookmarkStart w:id="100089" w:name="_Toc100089"/>
      <w:r>
        <w:rPr>
          <w:rFonts w:ascii="Calibri"/>
          <w:b/>
          <w:bCs/>
          <w:color w:val="0A1628"/>
          <w:sz w:val="30"/>
          <w:szCs w:val="30"/>
        </w:rPr>
        <w:t xml:space="preserve">11.5 Visitor Banning</w:t>
      </w:r>
      <w:bookmarkEnd w:id="100089"/>
    </w:p>
    <w:p>
      <w:pPr>
        <w:spacing w:after="120" w:line="312"/>
        <w:jc w:val="both"/>
      </w:pPr>
      <w:r>
        <w:rPr>
          <w:rFonts w:ascii="Calibri"/>
          <w:color w:val="1A2B40"/>
          <w:sz w:val="22"/>
          <w:szCs w:val="22"/>
        </w:rPr>
        <w:t xml:space="preserve">Agents and administrators can ban disruptive visitors from starting new chats on the website. Banned visitors are prevented from accessing the chat widget entirely, eliminating spam, abuse, and time-wasting interactions. Bans can be temporary or permanent and can be applied manually by agents or automatically based on predefined behavioral rules.</w:t>
      </w:r>
    </w:p>
    <w:p>
      <w:pPr>
        <w:pStyle w:val="Heading2"/>
        <w:spacing w:after="160" w:before="360"/>
      </w:pPr>
      <w:bookmarkStart w:id="100090" w:name="_Toc100090"/>
      <w:r>
        <w:rPr>
          <w:rFonts w:ascii="Calibri"/>
          <w:b/>
          <w:bCs/>
          <w:color w:val="0A1628"/>
          <w:sz w:val="30"/>
          <w:szCs w:val="30"/>
        </w:rPr>
        <w:t xml:space="preserve">11.6 Google Authentication and 2FA</w:t>
      </w:r>
      <w:bookmarkEnd w:id="100090"/>
    </w:p>
    <w:p>
      <w:pPr>
        <w:spacing w:after="120" w:line="312"/>
        <w:jc w:val="both"/>
      </w:pPr>
      <w:r>
        <w:rPr>
          <w:rFonts w:ascii="Calibri"/>
          <w:color w:val="1A2B40"/>
          <w:sz w:val="22"/>
          <w:szCs w:val="22"/>
        </w:rPr>
        <w:t xml:space="preserve">LiveChat supports login via Google accounts (Google Sign-On) with an optional two-step verification (2FA) requirement. When 2FA is enabled, agents must enter both their password and a verification code sent to their mobile device. This provides an additional layer of security beyond standard password protection and significantly reduces the risk of unauthorized account access.</w:t>
      </w:r>
    </w:p>
    <w:p>
      <w:pPr>
        <w:pStyle w:val="Heading2"/>
        <w:spacing w:after="160" w:before="360"/>
      </w:pPr>
      <w:bookmarkStart w:id="100091" w:name="_Toc100091"/>
      <w:r>
        <w:rPr>
          <w:rFonts w:ascii="Calibri"/>
          <w:b/>
          <w:bCs/>
          <w:color w:val="0A1628"/>
          <w:sz w:val="30"/>
          <w:szCs w:val="30"/>
        </w:rPr>
        <w:t xml:space="preserve">11.7 Compliance Certifications</w:t>
      </w:r>
      <w:bookmarkEnd w:id="100091"/>
    </w:p>
    <w:p>
      <w:pPr>
        <w:spacing w:after="120" w:line="312"/>
        <w:jc w:val="both"/>
      </w:pPr>
      <w:r>
        <w:rPr>
          <w:rFonts w:ascii="Calibri"/>
          <w:color w:val="1A2B40"/>
          <w:sz w:val="22"/>
          <w:szCs w:val="22"/>
        </w:rPr>
        <w:t xml:space="preserve">LiveChat holds multiple industry-recognized compliance certifications, demonstrating its commitment to data security and privacy. These certifications include GDPR (General Data Protection Regulation) compliance for handling European personal data, HIPAA (Health Insurance Portability and Accountability Act) readiness for healthcare organizations handling protected health information, Privacy Shield certification for EU-US data transfers, and CSA STAR certification for cloud security best practices. These certifications provide assurance to enterprise customers that LiveChat meets the highest standards of data protection.</w:t>
      </w:r>
    </w:p>
    <w:p>
      <w:pPr>
        <w:pStyle w:val="Heading2"/>
        <w:spacing w:after="160" w:before="360"/>
      </w:pPr>
      <w:bookmarkStart w:id="100092" w:name="_Toc100092"/>
      <w:r>
        <w:rPr>
          <w:rFonts w:ascii="Calibri"/>
          <w:b/>
          <w:bCs/>
          <w:color w:val="0A1628"/>
          <w:sz w:val="30"/>
          <w:szCs w:val="30"/>
        </w:rPr>
        <w:t xml:space="preserve">11.8 Single Sign-On (SSO)</w:t>
      </w:r>
      <w:bookmarkEnd w:id="100092"/>
    </w:p>
    <w:p>
      <w:pPr>
        <w:spacing w:after="120" w:line="312"/>
        <w:jc w:val="both"/>
      </w:pPr>
      <w:r>
        <w:rPr>
          <w:rFonts w:ascii="Calibri"/>
          <w:color w:val="1A2B40"/>
          <w:sz w:val="22"/>
          <w:szCs w:val="22"/>
        </w:rPr>
        <w:t xml:space="preserve">Enterprise SSO support that allows agents to log in to LiveChat using their corporate credentials, eliminating the need for separate passwords. LiveChat supports major SSO providers including Okta, OneLogin, Auth0, and Azure Active Directory. SSO simplifies user management for IT administrators, improves security through centralized credential management, and provides a seamless login experience for agents who already use SSO for other business applications.</w:t>
      </w:r>
    </w:p>
    <w:p>
      <w:pPr>
        <w:pStyle w:val="Heading1"/>
        <w:spacing w:after="200" w:before="480"/>
      </w:pPr>
      <w:bookmarkStart w:id="100093" w:name="_Toc100093"/>
      <w:r>
        <w:rPr>
          <w:rFonts w:ascii="Calibri"/>
          <w:b/>
          <w:bCs/>
          <w:color w:val="0A1628"/>
          <w:sz w:val="36"/>
          <w:szCs w:val="36"/>
        </w:rPr>
        <w:t xml:space="preserve">12. APIs and Developer Tools</w:t>
      </w:r>
      <w:bookmarkEnd w:id="100093"/>
    </w:p>
    <w:p>
      <w:pPr>
        <w:spacing w:after="120" w:line="312"/>
        <w:jc w:val="both"/>
      </w:pPr>
      <w:r>
        <w:rPr>
          <w:rFonts w:ascii="Calibri"/>
          <w:color w:val="1A2B40"/>
          <w:sz w:val="22"/>
          <w:szCs w:val="22"/>
        </w:rPr>
        <w:t xml:space="preserve">LiveChat provides a comprehensive set of APIs and developer tools that enable businesses to extend the platform's functionality, build custom integrations, and automate workflows.</w:t>
      </w:r>
    </w:p>
    <w:p>
      <w:pPr>
        <w:pStyle w:val="Heading2"/>
        <w:spacing w:after="160" w:before="360"/>
      </w:pPr>
      <w:bookmarkStart w:id="100094" w:name="_Toc100094"/>
      <w:r>
        <w:rPr>
          <w:rFonts w:ascii="Calibri"/>
          <w:b/>
          <w:bCs/>
          <w:color w:val="0A1628"/>
          <w:sz w:val="30"/>
          <w:szCs w:val="30"/>
        </w:rPr>
        <w:t xml:space="preserve">12.1 Customer SDK</w:t>
      </w:r>
      <w:bookmarkEnd w:id="100094"/>
    </w:p>
    <w:p>
      <w:pPr>
        <w:spacing w:after="120" w:line="312"/>
        <w:jc w:val="both"/>
      </w:pPr>
      <w:r>
        <w:rPr>
          <w:rFonts w:ascii="Calibri"/>
          <w:color w:val="1A2B40"/>
          <w:sz w:val="22"/>
          <w:szCs w:val="22"/>
        </w:rPr>
        <w:t xml:space="preserve">A client-side JavaScript SDK that provides full programmatic control over the chat widget. The Customer SDK enables developers to customize widget behavior, programmatically open or close the chat, send messages on behalf of customers, capture events (chat started, message sent, rating submitted), integrate custom authentication flows, and modify widget appearance dynamically. The SDK is essential for building custom chat experiences that go beyond the standard widget configuration options.</w:t>
      </w:r>
    </w:p>
    <w:p>
      <w:pPr>
        <w:pStyle w:val="Heading2"/>
        <w:spacing w:after="160" w:before="360"/>
      </w:pPr>
      <w:bookmarkStart w:id="100095" w:name="_Toc100095"/>
      <w:r>
        <w:rPr>
          <w:rFonts w:ascii="Calibri"/>
          <w:b/>
          <w:bCs/>
          <w:color w:val="0A1628"/>
          <w:sz w:val="30"/>
          <w:szCs w:val="30"/>
        </w:rPr>
        <w:t xml:space="preserve">12.2 Webhooks</w:t>
      </w:r>
      <w:bookmarkEnd w:id="100095"/>
    </w:p>
    <w:p>
      <w:pPr>
        <w:spacing w:after="120" w:line="312"/>
        <w:jc w:val="both"/>
      </w:pPr>
      <w:r>
        <w:rPr>
          <w:rFonts w:ascii="Calibri"/>
          <w:color w:val="1A2B40"/>
          <w:sz w:val="22"/>
          <w:szCs w:val="22"/>
        </w:rPr>
        <w:t xml:space="preserve">Real-time HTTP callbacks that notify external systems about events happening within LiveChat. Webhooks can be configured for events such as chat started, chat ended, message received, agent assigned, new ticket created, and customer data updated. This enables businesses to trigger automated workflows in external systems (such as CRM updates, email notifications, or analytics tracking) whenever specific actions occur within LiveChat, creating a fully integrated support ecosystem.</w:t>
      </w:r>
    </w:p>
    <w:p>
      <w:pPr>
        <w:pStyle w:val="Heading2"/>
        <w:spacing w:after="160" w:before="360"/>
      </w:pPr>
      <w:bookmarkStart w:id="100096" w:name="_Toc100096"/>
      <w:r>
        <w:rPr>
          <w:rFonts w:ascii="Calibri"/>
          <w:b/>
          <w:bCs/>
          <w:color w:val="0A1628"/>
          <w:sz w:val="30"/>
          <w:szCs w:val="30"/>
        </w:rPr>
        <w:t xml:space="preserve">12.3 Chat Widget JS API</w:t>
      </w:r>
      <w:bookmarkEnd w:id="100096"/>
    </w:p>
    <w:p>
      <w:pPr>
        <w:spacing w:after="120" w:line="312"/>
        <w:jc w:val="both"/>
      </w:pPr>
      <w:r>
        <w:rPr>
          <w:rFonts w:ascii="Calibri"/>
          <w:color w:val="1A2B40"/>
          <w:sz w:val="22"/>
          <w:szCs w:val="22"/>
        </w:rPr>
        <w:t xml:space="preserve">A JavaScript API that allows developers to interact with the chat widget after it has been loaded on a page. The Widget API provides methods for opening and closing the widget, sending messages, retrieving chat history, checking agent availability, and dynamically modifying widget properties. This API is commonly used for building custom launcher buttons, triggering chats based on specific user actions, and creating deeply integrated chat experiences within web applications.</w:t>
      </w:r>
    </w:p>
    <w:p>
      <w:pPr>
        <w:pStyle w:val="Heading2"/>
        <w:spacing w:after="160" w:before="360"/>
      </w:pPr>
      <w:bookmarkStart w:id="100097" w:name="_Toc100097"/>
      <w:r>
        <w:rPr>
          <w:rFonts w:ascii="Calibri"/>
          <w:b/>
          <w:bCs/>
          <w:color w:val="0A1628"/>
          <w:sz w:val="30"/>
          <w:szCs w:val="30"/>
        </w:rPr>
        <w:t xml:space="preserve">12.4 Chat API (REST API)</w:t>
      </w:r>
      <w:bookmarkEnd w:id="100097"/>
    </w:p>
    <w:p>
      <w:pPr>
        <w:spacing w:after="120" w:line="312"/>
        <w:jc w:val="both"/>
      </w:pPr>
      <w:r>
        <w:rPr>
          <w:rFonts w:ascii="Calibri"/>
          <w:color w:val="1A2B40"/>
          <w:sz w:val="22"/>
          <w:szCs w:val="22"/>
        </w:rPr>
        <w:t xml:space="preserve">A comprehensive REST API that allows external applications to interact with LiveChat programmatically. The Chat API provides endpoints for managing chats, sending messages, retrieving chat history, managing agents and departments, configuring settings, and accessing reports. This API is essential for building custom agent interfaces, integrating LiveChat with proprietary systems, automating repetitive tasks, and creating third-party integrations.</w:t>
      </w:r>
    </w:p>
    <w:p>
      <w:pPr>
        <w:pStyle w:val="Heading2"/>
        <w:spacing w:after="160" w:before="360"/>
      </w:pPr>
      <w:bookmarkStart w:id="100098" w:name="_Toc100098"/>
      <w:r>
        <w:rPr>
          <w:rFonts w:ascii="Calibri"/>
          <w:b/>
          <w:bCs/>
          <w:color w:val="0A1628"/>
          <w:sz w:val="30"/>
          <w:szCs w:val="30"/>
        </w:rPr>
        <w:t xml:space="preserve">12.5 Reports API</w:t>
      </w:r>
      <w:bookmarkEnd w:id="100098"/>
    </w:p>
    <w:p>
      <w:pPr>
        <w:spacing w:after="120" w:line="312"/>
        <w:jc w:val="both"/>
      </w:pPr>
      <w:r>
        <w:rPr>
          <w:rFonts w:ascii="Calibri"/>
          <w:color w:val="1A2B40"/>
          <w:sz w:val="22"/>
          <w:szCs w:val="22"/>
        </w:rPr>
        <w:t xml:space="preserve">A dedicated API for programmatically accessing reporting data. The Reports API allows businesses to pull analytics data into external dashboards, build custom reporting solutions, and automate the generation of periodic reports. This API provides access to all the same metrics available in the built-in reporting interface, enabling seamless integration with existing business intelligence tools.</w:t>
      </w:r>
    </w:p>
    <w:p>
      <w:pPr>
        <w:pStyle w:val="Heading1"/>
        <w:spacing w:after="200" w:before="480"/>
      </w:pPr>
      <w:bookmarkStart w:id="100099" w:name="_Toc100099"/>
      <w:r>
        <w:rPr>
          <w:rFonts w:ascii="Calibri"/>
          <w:b/>
          <w:bCs/>
          <w:color w:val="0A1628"/>
          <w:sz w:val="36"/>
          <w:szCs w:val="36"/>
        </w:rPr>
        <w:t xml:space="preserve">13. Integrations (200+)</w:t>
      </w:r>
      <w:bookmarkEnd w:id="100099"/>
    </w:p>
    <w:p>
      <w:pPr>
        <w:spacing w:after="120" w:line="312"/>
        <w:jc w:val="both"/>
      </w:pPr>
      <w:r>
        <w:rPr>
          <w:rFonts w:ascii="Calibri"/>
          <w:color w:val="1A2B40"/>
          <w:sz w:val="22"/>
          <w:szCs w:val="22"/>
        </w:rPr>
        <w:t xml:space="preserve">LiveChat offers a marketplace with over 200 native integrations, allowing businesses to connect LiveChat with the tools they already use daily. These integrations eliminate data silos and create a unified workflow for managing customer interactions.</w:t>
      </w:r>
    </w:p>
    <w:p>
      <w:pPr>
        <w:pStyle w:val="Heading2"/>
        <w:spacing w:after="160" w:before="360"/>
      </w:pPr>
      <w:bookmarkStart w:id="100100" w:name="_Toc100100"/>
      <w:r>
        <w:rPr>
          <w:rFonts w:ascii="Calibri"/>
          <w:b/>
          <w:bCs/>
          <w:color w:val="0A1628"/>
          <w:sz w:val="30"/>
          <w:szCs w:val="30"/>
        </w:rPr>
        <w:t xml:space="preserve">13.1 Ecommerce Integrations</w:t>
      </w:r>
      <w:bookmarkEnd w:id="100100"/>
    </w:p>
    <w:p>
      <w:pPr>
        <w:spacing w:after="100" w:line="312"/>
      </w:pPr>
      <w:r>
        <w:rPr>
          <w:rFonts w:ascii="Calibri"/>
          <w:b/>
          <w:bCs/>
          <w:color w:val="0A1628"/>
          <w:sz w:val="22"/>
          <w:szCs w:val="22"/>
        </w:rPr>
        <w:t xml:space="preserve">Shopify</w:t>
      </w:r>
      <w:r>
        <w:rPr>
          <w:rFonts w:ascii="Calibri"/>
          <w:color w:val="1A2B40"/>
          <w:sz w:val="22"/>
          <w:szCs w:val="22"/>
        </w:rPr>
        <w:t xml:space="preserve"> - Full synchronization of customer data, orders, cart contents, and product catalogs. Agents can see customer browsing behavior and cart contents in real-time, share product cards directly in chat, and track ecommerce sales performance.</w:t>
      </w:r>
    </w:p>
    <w:p>
      <w:pPr>
        <w:spacing w:after="100" w:line="312"/>
      </w:pPr>
      <w:r>
        <w:rPr>
          <w:rFonts w:ascii="Calibri"/>
          <w:b/>
          <w:bCs/>
          <w:color w:val="0A1628"/>
          <w:sz w:val="22"/>
          <w:szCs w:val="22"/>
        </w:rPr>
        <w:t xml:space="preserve">BigCommerce</w:t>
      </w:r>
      <w:r>
        <w:rPr>
          <w:rFonts w:ascii="Calibri"/>
          <w:color w:val="1A2B40"/>
          <w:sz w:val="22"/>
          <w:szCs w:val="22"/>
        </w:rPr>
        <w:t xml:space="preserve"> - Similar deep integration with BigCommerce stores, including product data sync, order management, and ecommerce analytics.</w:t>
      </w:r>
    </w:p>
    <w:p>
      <w:pPr>
        <w:spacing w:after="100" w:line="312"/>
      </w:pPr>
      <w:r>
        <w:rPr>
          <w:rFonts w:ascii="Calibri"/>
          <w:b/>
          <w:bCs/>
          <w:color w:val="0A1628"/>
          <w:sz w:val="22"/>
          <w:szCs w:val="22"/>
        </w:rPr>
        <w:t xml:space="preserve">WooCommerce</w:t>
      </w:r>
      <w:r>
        <w:rPr>
          <w:rFonts w:ascii="Calibri"/>
          <w:color w:val="1A2B40"/>
          <w:sz w:val="22"/>
          <w:szCs w:val="22"/>
        </w:rPr>
        <w:t xml:space="preserve"> - Integration with the WordPress ecommerce plugin, enabling LiveChat on WordPress sites with WooCommerce stores.</w:t>
      </w:r>
    </w:p>
    <w:p>
      <w:pPr>
        <w:spacing w:after="100" w:line="312"/>
      </w:pPr>
      <w:r>
        <w:rPr>
          <w:rFonts w:ascii="Calibri"/>
          <w:b/>
          <w:bCs/>
          <w:color w:val="0A1628"/>
          <w:sz w:val="22"/>
          <w:szCs w:val="22"/>
        </w:rPr>
        <w:t xml:space="preserve">Squarespace</w:t>
      </w:r>
      <w:r>
        <w:rPr>
          <w:rFonts w:ascii="Calibri"/>
          <w:color w:val="1A2B40"/>
          <w:sz w:val="22"/>
          <w:szCs w:val="22"/>
        </w:rPr>
        <w:t xml:space="preserve"> - Native integration with Squarespace's website builder, allowing easy chat widget deployment and customer data synchronization.</w:t>
      </w:r>
    </w:p>
    <w:p>
      <w:pPr>
        <w:pStyle w:val="Heading2"/>
        <w:spacing w:after="160" w:before="360"/>
      </w:pPr>
      <w:bookmarkStart w:id="100101" w:name="_Toc100101"/>
      <w:r>
        <w:rPr>
          <w:rFonts w:ascii="Calibri"/>
          <w:b/>
          <w:bCs/>
          <w:color w:val="0A1628"/>
          <w:sz w:val="30"/>
          <w:szCs w:val="30"/>
        </w:rPr>
        <w:t xml:space="preserve">13.2 Marketing Integrations</w:t>
      </w:r>
      <w:bookmarkEnd w:id="100101"/>
    </w:p>
    <w:p>
      <w:pPr>
        <w:spacing w:after="100" w:line="312"/>
      </w:pPr>
      <w:r>
        <w:rPr>
          <w:rFonts w:ascii="Calibri"/>
          <w:b/>
          <w:bCs/>
          <w:color w:val="0A1628"/>
          <w:sz w:val="22"/>
          <w:szCs w:val="22"/>
        </w:rPr>
        <w:t xml:space="preserve">Mailchimp</w:t>
      </w:r>
      <w:r>
        <w:rPr>
          <w:rFonts w:ascii="Calibri"/>
          <w:color w:val="1A2B40"/>
          <w:sz w:val="22"/>
          <w:szCs w:val="22"/>
        </w:rPr>
        <w:t xml:space="preserve"> - Sync customer data with email marketing lists, trigger email campaigns based on chat behavior, and track email engagement.</w:t>
      </w:r>
    </w:p>
    <w:p>
      <w:pPr>
        <w:spacing w:after="100" w:line="312"/>
      </w:pPr>
      <w:r>
        <w:rPr>
          <w:rFonts w:ascii="Calibri"/>
          <w:b/>
          <w:bCs/>
          <w:color w:val="0A1628"/>
          <w:sz w:val="22"/>
          <w:szCs w:val="22"/>
        </w:rPr>
        <w:t xml:space="preserve">HubSpot</w:t>
      </w:r>
      <w:r>
        <w:rPr>
          <w:rFonts w:ascii="Calibri"/>
          <w:color w:val="1A2B40"/>
          <w:sz w:val="22"/>
          <w:szCs w:val="22"/>
        </w:rPr>
        <w:t xml:space="preserve"> - Deep CRM integration for syncing customer data, tracking interactions, and automating marketing and sales workflows.</w:t>
      </w:r>
    </w:p>
    <w:p>
      <w:pPr>
        <w:spacing w:after="100" w:line="312"/>
      </w:pPr>
      <w:r>
        <w:rPr>
          <w:rFonts w:ascii="Calibri"/>
          <w:b/>
          <w:bCs/>
          <w:color w:val="0A1628"/>
          <w:sz w:val="22"/>
          <w:szCs w:val="22"/>
        </w:rPr>
        <w:t xml:space="preserve">Google Analytics</w:t>
      </w:r>
      <w:r>
        <w:rPr>
          <w:rFonts w:ascii="Calibri"/>
          <w:color w:val="1A2B40"/>
          <w:sz w:val="22"/>
          <w:szCs w:val="22"/>
        </w:rPr>
        <w:t xml:space="preserve"> - Track chat-initiated user behavior and measure the impact of live chat on website engagement and conversions.</w:t>
      </w:r>
    </w:p>
    <w:p>
      <w:pPr>
        <w:spacing w:after="100" w:line="312"/>
      </w:pPr>
      <w:r>
        <w:rPr>
          <w:rFonts w:ascii="Calibri"/>
          <w:b/>
          <w:bCs/>
          <w:color w:val="0A1628"/>
          <w:sz w:val="22"/>
          <w:szCs w:val="22"/>
        </w:rPr>
        <w:t xml:space="preserve">Facebook Pixel</w:t>
      </w:r>
      <w:r>
        <w:rPr>
          <w:rFonts w:ascii="Calibri"/>
          <w:color w:val="1A2B40"/>
          <w:sz w:val="22"/>
          <w:szCs w:val="22"/>
        </w:rPr>
        <w:t xml:space="preserve"> - Retarget website visitors who engaged with LiveChat through Facebook advertising.</w:t>
      </w:r>
    </w:p>
    <w:p>
      <w:pPr>
        <w:pStyle w:val="Heading2"/>
        <w:spacing w:after="160" w:before="360"/>
      </w:pPr>
      <w:bookmarkStart w:id="100102" w:name="_Toc100102"/>
      <w:r>
        <w:rPr>
          <w:rFonts w:ascii="Calibri"/>
          <w:b/>
          <w:bCs/>
          <w:color w:val="0A1628"/>
          <w:sz w:val="30"/>
          <w:szCs w:val="30"/>
        </w:rPr>
        <w:t xml:space="preserve">13.3 CRM Integrations</w:t>
      </w:r>
      <w:bookmarkEnd w:id="100102"/>
    </w:p>
    <w:p>
      <w:pPr>
        <w:spacing w:after="100" w:line="312"/>
      </w:pPr>
      <w:r>
        <w:rPr>
          <w:rFonts w:ascii="Calibri"/>
          <w:b/>
          <w:bCs/>
          <w:color w:val="0A1628"/>
          <w:sz w:val="22"/>
          <w:szCs w:val="22"/>
        </w:rPr>
        <w:t xml:space="preserve">Salesforce</w:t>
      </w:r>
      <w:r>
        <w:rPr>
          <w:rFonts w:ascii="Calibri"/>
          <w:color w:val="1A2B40"/>
          <w:sz w:val="22"/>
          <w:szCs w:val="22"/>
        </w:rPr>
        <w:t xml:space="preserve"> - Bi-directional sync of customer data, conversation logs, and activities between LiveChat and Salesforce CRM.</w:t>
      </w:r>
    </w:p>
    <w:p>
      <w:pPr>
        <w:spacing w:after="100" w:line="312"/>
      </w:pPr>
      <w:r>
        <w:rPr>
          <w:rFonts w:ascii="Calibri"/>
          <w:b/>
          <w:bCs/>
          <w:color w:val="0A1628"/>
          <w:sz w:val="22"/>
          <w:szCs w:val="22"/>
        </w:rPr>
        <w:t xml:space="preserve">Zendesk</w:t>
      </w:r>
      <w:r>
        <w:rPr>
          <w:rFonts w:ascii="Calibri"/>
          <w:color w:val="1A2B40"/>
          <w:sz w:val="22"/>
          <w:szCs w:val="22"/>
        </w:rPr>
        <w:t xml:space="preserve"> - Integration with Zendesk Support Suite for ticket synchronization.</w:t>
      </w:r>
    </w:p>
    <w:p>
      <w:pPr>
        <w:spacing w:after="100" w:line="312"/>
      </w:pPr>
      <w:r>
        <w:rPr>
          <w:rFonts w:ascii="Calibri"/>
          <w:b/>
          <w:bCs/>
          <w:color w:val="0A1628"/>
          <w:sz w:val="22"/>
          <w:szCs w:val="22"/>
        </w:rPr>
        <w:t xml:space="preserve">Pipedrive</w:t>
      </w:r>
      <w:r>
        <w:rPr>
          <w:rFonts w:ascii="Calibri"/>
          <w:color w:val="1A2B40"/>
          <w:sz w:val="22"/>
          <w:szCs w:val="22"/>
        </w:rPr>
        <w:t xml:space="preserve"> - Pipeline management integration for sales teams using LiveChat for lead generation.</w:t>
      </w:r>
    </w:p>
    <w:p>
      <w:pPr>
        <w:pStyle w:val="Heading2"/>
        <w:spacing w:after="160" w:before="360"/>
      </w:pPr>
      <w:bookmarkStart w:id="100103" w:name="_Toc100103"/>
      <w:r>
        <w:rPr>
          <w:rFonts w:ascii="Calibri"/>
          <w:b/>
          <w:bCs/>
          <w:color w:val="0A1628"/>
          <w:sz w:val="30"/>
          <w:szCs w:val="30"/>
        </w:rPr>
        <w:t xml:space="preserve">13.4 Communication Tools</w:t>
      </w:r>
      <w:bookmarkEnd w:id="100103"/>
    </w:p>
    <w:p>
      <w:pPr>
        <w:spacing w:after="100" w:line="312"/>
      </w:pPr>
      <w:r>
        <w:rPr>
          <w:rFonts w:ascii="Calibri"/>
          <w:b/>
          <w:bCs/>
          <w:color w:val="0A1628"/>
          <w:sz w:val="22"/>
          <w:szCs w:val="22"/>
        </w:rPr>
        <w:t xml:space="preserve">Slack</w:t>
      </w:r>
      <w:r>
        <w:rPr>
          <w:rFonts w:ascii="Calibri"/>
          <w:color w:val="1A2B40"/>
          <w:sz w:val="22"/>
          <w:szCs w:val="22"/>
        </w:rPr>
        <w:t xml:space="preserve"> - Receive chat notifications in Slack channels, enabling team-wide visibility into customer conversations.</w:t>
      </w:r>
    </w:p>
    <w:p>
      <w:pPr>
        <w:spacing w:after="100" w:line="312"/>
      </w:pPr>
      <w:r>
        <w:rPr>
          <w:rFonts w:ascii="Calibri"/>
          <w:b/>
          <w:bCs/>
          <w:color w:val="0A1628"/>
          <w:sz w:val="22"/>
          <w:szCs w:val="22"/>
        </w:rPr>
        <w:t xml:space="preserve">Microsoft Teams</w:t>
      </w:r>
      <w:r>
        <w:rPr>
          <w:rFonts w:ascii="Calibri"/>
          <w:color w:val="1A2B40"/>
          <w:sz w:val="22"/>
          <w:szCs w:val="22"/>
        </w:rPr>
        <w:t xml:space="preserve"> - Integration with Microsoft Teams for internal team communication and notifications.</w:t>
      </w:r>
    </w:p>
    <w:p>
      <w:pPr>
        <w:pStyle w:val="Heading2"/>
        <w:spacing w:after="160" w:before="360"/>
      </w:pPr>
      <w:bookmarkStart w:id="100104" w:name="_Toc100104"/>
      <w:r>
        <w:rPr>
          <w:rFonts w:ascii="Calibri"/>
          <w:b/>
          <w:bCs/>
          <w:color w:val="0A1628"/>
          <w:sz w:val="30"/>
          <w:szCs w:val="30"/>
        </w:rPr>
        <w:t xml:space="preserve">13.5 HelpDesk Integration</w:t>
      </w:r>
      <w:bookmarkEnd w:id="100104"/>
    </w:p>
    <w:p>
      <w:pPr>
        <w:spacing w:after="100" w:line="312"/>
      </w:pPr>
      <w:r>
        <w:rPr>
          <w:rFonts w:ascii="Calibri"/>
          <w:b/>
          <w:bCs/>
          <w:color w:val="0A1628"/>
          <w:sz w:val="22"/>
          <w:szCs w:val="22"/>
        </w:rPr>
        <w:t xml:space="preserve">HelpDesk by Text</w:t>
      </w:r>
      <w:r>
        <w:rPr>
          <w:rFonts w:ascii="Calibri"/>
          <w:color w:val="1A2B40"/>
          <w:sz w:val="22"/>
          <w:szCs w:val="22"/>
        </w:rPr>
        <w:t xml:space="preserve"> - Seamless integration between LiveChat and HelpDesk for ticket management. Chats can be automatically converted to tickets, and ticket updates are reflected in the customer communication thread.</w:t>
      </w:r>
    </w:p>
    <w:p>
      <w:pPr>
        <w:pStyle w:val="Heading2"/>
        <w:spacing w:after="160" w:before="360"/>
      </w:pPr>
      <w:bookmarkStart w:id="100105" w:name="_Toc100105"/>
      <w:r>
        <w:rPr>
          <w:rFonts w:ascii="Calibri"/>
          <w:b/>
          <w:bCs/>
          <w:color w:val="0A1628"/>
          <w:sz w:val="30"/>
          <w:szCs w:val="30"/>
        </w:rPr>
        <w:t xml:space="preserve">13.6 Additional Integrations</w:t>
      </w:r>
      <w:bookmarkEnd w:id="100105"/>
    </w:p>
    <w:p>
      <w:pPr>
        <w:spacing w:after="120" w:line="312"/>
        <w:jc w:val="both"/>
      </w:pPr>
      <w:r>
        <w:rPr>
          <w:rFonts w:ascii="Calibri"/>
          <w:color w:val="1A2B40"/>
          <w:sz w:val="22"/>
          <w:szCs w:val="22"/>
        </w:rPr>
        <w:t xml:space="preserve">The marketplace also includes integrations with WordPress, Zapier (for connecting to thousands of additional apps), Google Tag Manager, Segment, Freshsales, Zoho, Freshdesk, Intercom, and many more. The integration marketplace provides detailed setup guides and configuration options for each integration.</w:t>
      </w:r>
    </w:p>
    <w:p>
      <w:pPr>
        <w:pStyle w:val="Heading1"/>
        <w:spacing w:after="200" w:before="480"/>
      </w:pPr>
      <w:bookmarkStart w:id="100106" w:name="_Toc100106"/>
      <w:r>
        <w:rPr>
          <w:rFonts w:ascii="Calibri"/>
          <w:b/>
          <w:bCs/>
          <w:color w:val="0A1628"/>
          <w:sz w:val="36"/>
          <w:szCs w:val="36"/>
        </w:rPr>
        <w:t xml:space="preserve">14. HelpDesk Features</w:t>
      </w:r>
      <w:bookmarkEnd w:id="100106"/>
    </w:p>
    <w:p>
      <w:pPr>
        <w:spacing w:after="120" w:line="312"/>
        <w:jc w:val="both"/>
      </w:pPr>
      <w:r>
        <w:rPr>
          <w:rFonts w:ascii="Calibri"/>
          <w:color w:val="1A2B40"/>
          <w:sz w:val="22"/>
          <w:szCs w:val="22"/>
        </w:rPr>
        <w:t xml:space="preserve">HelpDesk is a dedicated ticketing product within the Text platform that complements LiveChat by handling asynchronous customer support requests that require follow-up over extended periods.</w:t>
      </w:r>
    </w:p>
    <w:p>
      <w:pPr>
        <w:pStyle w:val="Heading2"/>
        <w:spacing w:after="160" w:before="360"/>
      </w:pPr>
      <w:bookmarkStart w:id="100107" w:name="_Toc100107"/>
      <w:r>
        <w:rPr>
          <w:rFonts w:ascii="Calibri"/>
          <w:b/>
          <w:bCs/>
          <w:color w:val="0A1628"/>
          <w:sz w:val="30"/>
          <w:szCs w:val="30"/>
        </w:rPr>
        <w:t xml:space="preserve">14.1 Ticket Management</w:t>
      </w:r>
      <w:bookmarkEnd w:id="100107"/>
    </w:p>
    <w:p>
      <w:pPr>
        <w:spacing w:after="120" w:line="312"/>
        <w:jc w:val="both"/>
      </w:pPr>
      <w:r>
        <w:rPr>
          <w:rFonts w:ascii="Calibri"/>
          <w:color w:val="1A2B40"/>
          <w:sz w:val="22"/>
          <w:szCs w:val="22"/>
        </w:rPr>
        <w:t xml:space="preserve">Full ticket lifecycle management including creation, assignment, prioritization, tracking, and resolution. Tickets can be created manually, automatically from email, or converted from unresolved LiveChat conversations. Each ticket maintains a complete audit trail of all activities, notes, status changes, and time metrics.</w:t>
      </w:r>
    </w:p>
    <w:p>
      <w:pPr>
        <w:pStyle w:val="Heading2"/>
        <w:spacing w:after="160" w:before="360"/>
      </w:pPr>
      <w:bookmarkStart w:id="100108" w:name="_Toc100108"/>
      <w:r>
        <w:rPr>
          <w:rFonts w:ascii="Calibri"/>
          <w:b/>
          <w:bCs/>
          <w:color w:val="0A1628"/>
          <w:sz w:val="30"/>
          <w:szCs w:val="30"/>
        </w:rPr>
        <w:t xml:space="preserve">14.2 Shared Inbox</w:t>
      </w:r>
      <w:bookmarkEnd w:id="100108"/>
    </w:p>
    <w:p>
      <w:pPr>
        <w:spacing w:after="120" w:line="312"/>
        <w:jc w:val="both"/>
      </w:pPr>
      <w:r>
        <w:rPr>
          <w:rFonts w:ascii="Calibri"/>
          <w:color w:val="1A2B40"/>
          <w:sz w:val="22"/>
          <w:szCs w:val="22"/>
        </w:rPr>
        <w:t xml:space="preserve">A unified inbox view that displays all incoming tickets from all channels (email, chat, social media) in a single interface. Agents can view, respond to, and manage tickets from multiple sources without switching between different tools. The shared inbox supports filters, sorting, and bulk actions for efficient ticket processing.</w:t>
      </w:r>
    </w:p>
    <w:p>
      <w:pPr>
        <w:pStyle w:val="Heading2"/>
        <w:spacing w:after="160" w:before="360"/>
      </w:pPr>
      <w:bookmarkStart w:id="100109" w:name="_Toc100109"/>
      <w:r>
        <w:rPr>
          <w:rFonts w:ascii="Calibri"/>
          <w:b/>
          <w:bCs/>
          <w:color w:val="0A1628"/>
          <w:sz w:val="30"/>
          <w:szCs w:val="30"/>
        </w:rPr>
        <w:t xml:space="preserve">14.3 Ticket Assignment and Routing</w:t>
      </w:r>
      <w:bookmarkEnd w:id="100109"/>
    </w:p>
    <w:p>
      <w:pPr>
        <w:spacing w:after="120" w:line="312"/>
        <w:jc w:val="both"/>
      </w:pPr>
      <w:r>
        <w:rPr>
          <w:rFonts w:ascii="Calibri"/>
          <w:color w:val="1A2B40"/>
          <w:sz w:val="22"/>
          <w:szCs w:val="22"/>
        </w:rPr>
        <w:t xml:space="preserve">Automated ticket routing based on rules similar to LiveChat's chat routing. Tickets can be automatically assigned to specific agents or departments based on topic, customer segment, priority, or language. Manual assignment and reassignment are also supported for special cases.</w:t>
      </w:r>
    </w:p>
    <w:p>
      <w:pPr>
        <w:pStyle w:val="Heading2"/>
        <w:spacing w:after="160" w:before="360"/>
      </w:pPr>
      <w:bookmarkStart w:id="100110" w:name="_Toc100110"/>
      <w:r>
        <w:rPr>
          <w:rFonts w:ascii="Calibri"/>
          <w:b/>
          <w:bCs/>
          <w:color w:val="0A1628"/>
          <w:sz w:val="30"/>
          <w:szCs w:val="30"/>
        </w:rPr>
        <w:t xml:space="preserve">14.4 Internal Notes</w:t>
      </w:r>
      <w:bookmarkEnd w:id="100110"/>
    </w:p>
    <w:p>
      <w:pPr>
        <w:spacing w:after="120" w:line="312"/>
        <w:jc w:val="both"/>
      </w:pPr>
      <w:r>
        <w:rPr>
          <w:rFonts w:ascii="Calibri"/>
          <w:color w:val="1A2B40"/>
          <w:sz w:val="22"/>
          <w:szCs w:val="22"/>
        </w:rPr>
        <w:t xml:space="preserve">Private notes that agents can add to tickets for internal communication. Internal notes are invisible to customers and enable agents to share context, ask questions, or provide handoff information without including it in the customer-facing communication. This supports effective collaboration and knowledge sharing within the team.</w:t>
      </w:r>
    </w:p>
    <w:p>
      <w:pPr>
        <w:pStyle w:val="Heading2"/>
        <w:spacing w:after="160" w:before="360"/>
      </w:pPr>
      <w:bookmarkStart w:id="100111" w:name="_Toc100111"/>
      <w:r>
        <w:rPr>
          <w:rFonts w:ascii="Calibri"/>
          <w:b/>
          <w:bCs/>
          <w:color w:val="0A1628"/>
          <w:sz w:val="30"/>
          <w:szCs w:val="30"/>
        </w:rPr>
        <w:t xml:space="preserve">14.5 SLA Management</w:t>
      </w:r>
      <w:bookmarkEnd w:id="100111"/>
    </w:p>
    <w:p>
      <w:pPr>
        <w:spacing w:after="120" w:line="312"/>
        <w:jc w:val="both"/>
      </w:pPr>
      <w:r>
        <w:rPr>
          <w:rFonts w:ascii="Calibri"/>
          <w:color w:val="1A2B40"/>
          <w:sz w:val="22"/>
          <w:szCs w:val="22"/>
        </w:rPr>
        <w:t xml:space="preserve">Service Level Agreement tracking that monitors response and resolution times against defined targets. SLA management includes automated warnings when deadlines are approaching, escalation rules for overdue tickets, and reporting on SLA compliance rates.</w:t>
      </w:r>
    </w:p>
    <w:p>
      <w:pPr>
        <w:pStyle w:val="Heading2"/>
        <w:spacing w:after="160" w:before="360"/>
      </w:pPr>
      <w:bookmarkStart w:id="100112" w:name="_Toc100112"/>
      <w:r>
        <w:rPr>
          <w:rFonts w:ascii="Calibri"/>
          <w:b/>
          <w:bCs/>
          <w:color w:val="0A1628"/>
          <w:sz w:val="30"/>
          <w:szCs w:val="30"/>
        </w:rPr>
        <w:t xml:space="preserve">14.6 Collision Detection</w:t>
      </w:r>
      <w:bookmarkEnd w:id="100112"/>
    </w:p>
    <w:p>
      <w:pPr>
        <w:spacing w:after="120" w:line="312"/>
        <w:jc w:val="both"/>
      </w:pPr>
      <w:r>
        <w:rPr>
          <w:rFonts w:ascii="Calibri"/>
          <w:color w:val="1A2B40"/>
          <w:sz w:val="22"/>
          <w:szCs w:val="22"/>
        </w:rPr>
        <w:t xml:space="preserve">A feature that prevents multiple agents from working on the same ticket simultaneously without coordination. When an agent opens a ticket, other agents see a visual indicator showing that the ticket is being handled, preventing duplicate work and confusion.</w:t>
      </w:r>
    </w:p>
    <w:p>
      <w:pPr>
        <w:pStyle w:val="Heading1"/>
        <w:spacing w:after="200" w:before="480"/>
      </w:pPr>
      <w:bookmarkStart w:id="100113" w:name="_Toc100113"/>
      <w:r>
        <w:rPr>
          <w:rFonts w:ascii="Calibri"/>
          <w:b/>
          <w:bCs/>
          <w:color w:val="0A1628"/>
          <w:sz w:val="36"/>
          <w:szCs w:val="36"/>
        </w:rPr>
        <w:t xml:space="preserve">15. KnowledgeBase Features</w:t>
      </w:r>
      <w:bookmarkEnd w:id="100113"/>
    </w:p>
    <w:p>
      <w:pPr>
        <w:spacing w:after="120" w:line="312"/>
        <w:jc w:val="both"/>
      </w:pPr>
      <w:r>
        <w:rPr>
          <w:rFonts w:ascii="Calibri"/>
          <w:color w:val="1A2B40"/>
          <w:sz w:val="22"/>
          <w:szCs w:val="22"/>
        </w:rPr>
        <w:t xml:space="preserve">The KnowledgeBase product provides a self-service portal that empowers customers to find answers independently, reducing ticket volume and improving customer satisfaction.</w:t>
      </w:r>
    </w:p>
    <w:p>
      <w:pPr>
        <w:pStyle w:val="Heading2"/>
        <w:spacing w:after="160" w:before="360"/>
      </w:pPr>
      <w:bookmarkStart w:id="100114" w:name="_Toc100114"/>
      <w:r>
        <w:rPr>
          <w:rFonts w:ascii="Calibri"/>
          <w:b/>
          <w:bCs/>
          <w:color w:val="0A1628"/>
          <w:sz w:val="30"/>
          <w:szCs w:val="30"/>
        </w:rPr>
        <w:t xml:space="preserve">15.1 Article Management</w:t>
      </w:r>
      <w:bookmarkEnd w:id="100114"/>
    </w:p>
    <w:p>
      <w:pPr>
        <w:spacing w:after="120" w:line="312"/>
        <w:jc w:val="both"/>
      </w:pPr>
      <w:r>
        <w:rPr>
          <w:rFonts w:ascii="Calibri"/>
          <w:color w:val="1A2B40"/>
          <w:sz w:val="22"/>
          <w:szCs w:val="22"/>
        </w:rPr>
        <w:t xml:space="preserve">A content management system for creating, organizing, and publishing help articles. Articles support rich text formatting, embedded images and videos, code blocks, file attachments, and categorization through a hierarchical category structure. A version history system tracks all changes and allows rollback to previous versions.</w:t>
      </w:r>
    </w:p>
    <w:p>
      <w:pPr>
        <w:pStyle w:val="Heading2"/>
        <w:spacing w:after="160" w:before="360"/>
      </w:pPr>
      <w:bookmarkStart w:id="100115" w:name="_Toc100115"/>
      <w:r>
        <w:rPr>
          <w:rFonts w:ascii="Calibri"/>
          <w:b/>
          <w:bCs/>
          <w:color w:val="0A1628"/>
          <w:sz w:val="30"/>
          <w:szCs w:val="30"/>
        </w:rPr>
        <w:t xml:space="preserve">15.2 Search Functionality</w:t>
      </w:r>
      <w:bookmarkEnd w:id="100115"/>
    </w:p>
    <w:p>
      <w:pPr>
        <w:spacing w:after="120" w:line="312"/>
        <w:jc w:val="both"/>
      </w:pPr>
      <w:r>
        <w:rPr>
          <w:rFonts w:ascii="Calibri"/>
          <w:color w:val="1A2B40"/>
          <w:sz w:val="22"/>
          <w:szCs w:val="22"/>
        </w:rPr>
        <w:t xml:space="preserve">A powerful full-text search engine that helps customers quickly find relevant articles. The search supports autocomplete suggestions, spelling correction, and relevance ranking based on article popularity and content match quality.</w:t>
      </w:r>
    </w:p>
    <w:p>
      <w:pPr>
        <w:pStyle w:val="Heading2"/>
        <w:spacing w:after="160" w:before="360"/>
      </w:pPr>
      <w:bookmarkStart w:id="100116" w:name="_Toc100116"/>
      <w:r>
        <w:rPr>
          <w:rFonts w:ascii="Calibri"/>
          <w:b/>
          <w:bCs/>
          <w:color w:val="0A1628"/>
          <w:sz w:val="30"/>
          <w:szCs w:val="30"/>
        </w:rPr>
        <w:t xml:space="preserve">15.3 Widget Integration</w:t>
      </w:r>
      <w:bookmarkEnd w:id="100116"/>
    </w:p>
    <w:p>
      <w:pPr>
        <w:spacing w:after="120" w:line="312"/>
        <w:jc w:val="both"/>
      </w:pPr>
      <w:r>
        <w:rPr>
          <w:rFonts w:ascii="Calibri"/>
          <w:color w:val="1A2B40"/>
          <w:sz w:val="22"/>
          <w:szCs w:val="22"/>
        </w:rPr>
        <w:t xml:space="preserve">KnowledgeBase integrates directly into the LiveChat widget, allowing customers to search for articles before starting a chat. This self-service capability reduces the number of support requests and provides instant answers to common questions. The widget displays suggested articles based on the customer's initial message, potentially resolving the inquiry without agent involvement.</w:t>
      </w:r>
    </w:p>
    <w:p>
      <w:pPr>
        <w:pStyle w:val="Heading2"/>
        <w:spacing w:after="160" w:before="360"/>
      </w:pPr>
      <w:bookmarkStart w:id="100117" w:name="_Toc100117"/>
      <w:r>
        <w:rPr>
          <w:rFonts w:ascii="Calibri"/>
          <w:b/>
          <w:bCs/>
          <w:color w:val="0A1628"/>
          <w:sz w:val="30"/>
          <w:szCs w:val="30"/>
        </w:rPr>
        <w:t xml:space="preserve">15.4 Analytics</w:t>
      </w:r>
      <w:bookmarkEnd w:id="100117"/>
    </w:p>
    <w:p>
      <w:pPr>
        <w:spacing w:after="120" w:line="312"/>
        <w:jc w:val="both"/>
      </w:pPr>
      <w:r>
        <w:rPr>
          <w:rFonts w:ascii="Calibri"/>
          <w:color w:val="1A2B40"/>
          <w:sz w:val="22"/>
          <w:szCs w:val="22"/>
        </w:rPr>
        <w:t xml:space="preserve">Built-in analytics for the knowledge base that track article performance metrics including views, search queries, helpfulness ratings, and articles that fail to answer customer questions. These insights help content managers identify gaps in documentation and prioritize article creation and updates.</w:t>
      </w:r>
    </w:p>
    <w:p>
      <w:pPr>
        <w:pStyle w:val="Heading1"/>
        <w:spacing w:after="200" w:before="480"/>
      </w:pPr>
      <w:bookmarkStart w:id="100118" w:name="_Toc100118"/>
      <w:r>
        <w:rPr>
          <w:rFonts w:ascii="Calibri"/>
          <w:b/>
          <w:bCs/>
          <w:color w:val="0A1628"/>
          <w:sz w:val="36"/>
          <w:szCs w:val="36"/>
        </w:rPr>
        <w:t xml:space="preserve">16. Additional Features</w:t>
      </w:r>
      <w:bookmarkEnd w:id="100118"/>
    </w:p>
    <w:p>
      <w:pPr>
        <w:pStyle w:val="Heading2"/>
        <w:spacing w:after="160" w:before="360"/>
      </w:pPr>
      <w:bookmarkStart w:id="100119" w:name="_Toc100119"/>
      <w:r>
        <w:rPr>
          <w:rFonts w:ascii="Calibri"/>
          <w:b/>
          <w:bCs/>
          <w:color w:val="0A1628"/>
          <w:sz w:val="30"/>
          <w:szCs w:val="30"/>
        </w:rPr>
        <w:t xml:space="preserve">16. Preview on Website</w:t>
      </w:r>
      <w:bookmarkEnd w:id="100119"/>
    </w:p>
    <w:p>
      <w:pPr>
        <w:spacing w:after="120" w:line="312"/>
        <w:jc w:val="both"/>
      </w:pPr>
      <w:r>
        <w:rPr>
          <w:rFonts w:ascii="Calibri"/>
          <w:color w:val="1A2B40"/>
          <w:sz w:val="22"/>
          <w:szCs w:val="22"/>
        </w:rPr>
        <w:t xml:space="preserve">A one-click preview feature that allows administrators to see how the chat widget will look on their own website before publishing changes. This WYSIWYG preview ensures that customization changes (colors, themes, text) appear correctly in the actual website context.</w:t>
      </w:r>
    </w:p>
    <w:p>
      <w:pPr>
        <w:pStyle w:val="Heading2"/>
        <w:spacing w:after="160" w:before="360"/>
      </w:pPr>
      <w:bookmarkStart w:id="100120" w:name="_Toc100120"/>
      <w:r>
        <w:rPr>
          <w:rFonts w:ascii="Calibri"/>
          <w:b/>
          <w:bCs/>
          <w:color w:val="0A1628"/>
          <w:sz w:val="30"/>
          <w:szCs w:val="30"/>
        </w:rPr>
        <w:t xml:space="preserve">16. Visitor Tracking</w:t>
      </w:r>
      <w:bookmarkEnd w:id="100120"/>
    </w:p>
    <w:p>
      <w:pPr>
        <w:spacing w:after="120" w:line="312"/>
        <w:jc w:val="both"/>
      </w:pPr>
      <w:r>
        <w:rPr>
          <w:rFonts w:ascii="Calibri"/>
          <w:color w:val="1A2B40"/>
          <w:sz w:val="22"/>
          <w:szCs w:val="22"/>
        </w:rPr>
        <w:t xml:space="preserve">Real-time information about website visitors that is displayed to agents, including the customer's current page, browsing path, time on site, geographic location (country and city), browser and device information, referring source, and previous visit history. This context helps agents provide more personalized and relevant responses.</w:t>
      </w:r>
    </w:p>
    <w:p>
      <w:pPr>
        <w:pStyle w:val="Heading2"/>
        <w:spacing w:after="160" w:before="360"/>
      </w:pPr>
      <w:bookmarkStart w:id="100121" w:name="_Toc100121"/>
      <w:r>
        <w:rPr>
          <w:rFonts w:ascii="Calibri"/>
          <w:b/>
          <w:bCs/>
          <w:color w:val="0A1628"/>
          <w:sz w:val="30"/>
          <w:szCs w:val="30"/>
        </w:rPr>
        <w:t xml:space="preserve">16. Product Demo</w:t>
      </w:r>
      <w:bookmarkEnd w:id="100121"/>
    </w:p>
    <w:p>
      <w:pPr>
        <w:spacing w:after="120" w:line="312"/>
        <w:jc w:val="both"/>
      </w:pPr>
      <w:r>
        <w:rPr>
          <w:rFonts w:ascii="Calibri"/>
          <w:color w:val="1A2B40"/>
          <w:sz w:val="22"/>
          <w:szCs w:val="22"/>
        </w:rPr>
        <w:t xml:space="preserve">An interactive product tour/demo feature that showcases LiveChat's capabilities directly within the platform. This self-guided tour demonstrates key features and helps potential customers understand the product's value proposition.</w:t>
      </w:r>
    </w:p>
    <w:p>
      <w:pPr>
        <w:pStyle w:val="Heading2"/>
        <w:spacing w:after="160" w:before="360"/>
      </w:pPr>
      <w:bookmarkStart w:id="100122" w:name="_Toc100122"/>
      <w:r>
        <w:rPr>
          <w:rFonts w:ascii="Calibri"/>
          <w:b/>
          <w:bCs/>
          <w:color w:val="0A1628"/>
          <w:sz w:val="30"/>
          <w:szCs w:val="30"/>
        </w:rPr>
        <w:t xml:space="preserve">16. Partner Program</w:t>
      </w:r>
      <w:bookmarkEnd w:id="100122"/>
    </w:p>
    <w:p>
      <w:pPr>
        <w:spacing w:after="120" w:line="312"/>
        <w:jc w:val="both"/>
      </w:pPr>
      <w:r>
        <w:rPr>
          <w:rFonts w:ascii="Calibri"/>
          <w:color w:val="1A2B40"/>
          <w:sz w:val="22"/>
          <w:szCs w:val="22"/>
        </w:rPr>
        <w:t xml:space="preserve">A partnership ecosystem that enables agencies, consultants, and integration developers to build solutions on top of the LiveChat platform. Partners can access technical resources, co-marketing opportunities, and revenue-sharing arrangements. LiveChat also offers an Incubator program for early-stage startups.</w:t>
      </w:r>
    </w:p>
    <w:p>
      <w:pPr>
        <w:pStyle w:val="Heading2"/>
        <w:spacing w:after="160" w:before="360"/>
      </w:pPr>
      <w:bookmarkStart w:id="100123" w:name="_Toc100123"/>
      <w:r>
        <w:rPr>
          <w:rFonts w:ascii="Calibri"/>
          <w:b/>
          <w:bCs/>
          <w:color w:val="0A1628"/>
          <w:sz w:val="30"/>
          <w:szCs w:val="30"/>
        </w:rPr>
        <w:t xml:space="preserve">16. Professional Services</w:t>
      </w:r>
      <w:bookmarkEnd w:id="100123"/>
    </w:p>
    <w:p>
      <w:pPr>
        <w:spacing w:after="120" w:line="312"/>
        <w:jc w:val="both"/>
      </w:pPr>
      <w:r>
        <w:rPr>
          <w:rFonts w:ascii="Calibri"/>
          <w:color w:val="1A2B40"/>
          <w:sz w:val="22"/>
          <w:szCs w:val="22"/>
        </w:rPr>
        <w:t xml:space="preserve">Offerings from the LiveChat team including implementation assistance, custom development, migration support, training and onboarding programs, and dedicated account management for enterprise customers. These services help businesses get the most value from the platform.</w:t>
      </w:r>
    </w:p>
    <w:p>
      <w:pPr>
        <w:pStyle w:val="Heading2"/>
        <w:spacing w:after="160" w:before="360"/>
      </w:pPr>
      <w:bookmarkStart w:id="100124" w:name="_Toc100124"/>
      <w:r>
        <w:rPr>
          <w:rFonts w:ascii="Calibri"/>
          <w:b/>
          <w:bCs/>
          <w:color w:val="0A1628"/>
          <w:sz w:val="30"/>
          <w:szCs w:val="30"/>
        </w:rPr>
        <w:t xml:space="preserve">16. Customer Service Report</w:t>
      </w:r>
      <w:bookmarkEnd w:id="100124"/>
    </w:p>
    <w:p>
      <w:pPr>
        <w:spacing w:after="120" w:line="312"/>
        <w:jc w:val="both"/>
      </w:pPr>
      <w:r>
        <w:rPr>
          <w:rFonts w:ascii="Calibri"/>
          <w:color w:val="1A2B40"/>
          <w:sz w:val="22"/>
          <w:szCs w:val="22"/>
        </w:rPr>
        <w:t xml:space="preserve">An annual industry report published by LiveChat that provides benchmarks, trends, and insights based on anonymized data from the platform. This report helps businesses compare their performance against industry standards and identify areas for improvement.</w:t>
      </w:r>
    </w:p>
    <w:p>
      <w:pPr>
        <w:pStyle w:val="Heading2"/>
        <w:spacing w:after="160" w:before="360"/>
      </w:pPr>
      <w:bookmarkStart w:id="100125" w:name="_Toc100125"/>
      <w:r>
        <w:rPr>
          <w:rFonts w:ascii="Calibri"/>
          <w:b/>
          <w:bCs/>
          <w:color w:val="0A1628"/>
          <w:sz w:val="30"/>
          <w:szCs w:val="30"/>
        </w:rPr>
        <w:t xml:space="preserve">16. Local Benchmark</w:t>
      </w:r>
      <w:bookmarkEnd w:id="100125"/>
    </w:p>
    <w:p>
      <w:pPr>
        <w:spacing w:after="120" w:line="312"/>
        <w:jc w:val="both"/>
      </w:pPr>
      <w:r>
        <w:rPr>
          <w:rFonts w:ascii="Calibri"/>
          <w:color w:val="1A2B40"/>
          <w:sz w:val="22"/>
          <w:szCs w:val="22"/>
        </w:rPr>
        <w:t xml:space="preserve">A comparison tool that allows businesses to benchmark their LiveChat performance against local and regional averages, providing context for whether their metrics are above or below industry norms.</w:t>
      </w:r>
    </w:p>
    <w:p>
      <w:pPr>
        <w:pStyle w:val="Heading2"/>
        <w:spacing w:after="160" w:before="360"/>
      </w:pPr>
      <w:bookmarkStart w:id="100126" w:name="_Toc100126"/>
      <w:r>
        <w:rPr>
          <w:rFonts w:ascii="Calibri"/>
          <w:b/>
          <w:bCs/>
          <w:color w:val="0A1628"/>
          <w:sz w:val="30"/>
          <w:szCs w:val="30"/>
        </w:rPr>
        <w:t xml:space="preserve">16. Privacy Policy Generator</w:t>
      </w:r>
      <w:bookmarkEnd w:id="100126"/>
    </w:p>
    <w:p>
      <w:pPr>
        <w:spacing w:after="120" w:line="312"/>
        <w:jc w:val="both"/>
      </w:pPr>
      <w:r>
        <w:rPr>
          <w:rFonts w:ascii="Calibri"/>
          <w:color w:val="1A2B40"/>
          <w:sz w:val="22"/>
          <w:szCs w:val="22"/>
        </w:rPr>
        <w:t xml:space="preserve">A free tool that helps businesses generate GDPR-compliant privacy policies, simplifying the legal compliance process for European customers using LiveChat.</w:t>
      </w:r>
    </w:p>
    <w:p>
      <w:pPr>
        <w:pStyle w:val="Heading2"/>
        <w:spacing w:after="160" w:before="360"/>
      </w:pPr>
      <w:bookmarkStart w:id="100127" w:name="_Toc100127"/>
      <w:r>
        <w:rPr>
          <w:rFonts w:ascii="Calibri"/>
          <w:b/>
          <w:bCs/>
          <w:color w:val="0A1628"/>
          <w:sz w:val="30"/>
          <w:szCs w:val="30"/>
        </w:rPr>
        <w:t xml:space="preserve">16. Typing Speed Test</w:t>
      </w:r>
      <w:bookmarkEnd w:id="100127"/>
    </w:p>
    <w:p>
      <w:pPr>
        <w:spacing w:after="120" w:line="312"/>
        <w:jc w:val="both"/>
      </w:pPr>
      <w:r>
        <w:rPr>
          <w:rFonts w:ascii="Calibri"/>
          <w:color w:val="1A2B40"/>
          <w:sz w:val="22"/>
          <w:szCs w:val="22"/>
        </w:rPr>
        <w:t xml:space="preserve">A free online tool that measures typing speed and accuracy, useful for assessing agent candidates during the hiring process.</w:t>
      </w:r>
    </w:p>
    <w:p>
      <w:pPr>
        <w:pStyle w:val="Heading2"/>
        <w:spacing w:after="160" w:before="360"/>
      </w:pPr>
      <w:bookmarkStart w:id="100128" w:name="_Toc100128"/>
      <w:r>
        <w:rPr>
          <w:rFonts w:ascii="Calibri"/>
          <w:b/>
          <w:bCs/>
          <w:color w:val="0A1628"/>
          <w:sz w:val="30"/>
          <w:szCs w:val="30"/>
        </w:rPr>
        <w:t xml:space="preserve">16. System Status</w:t>
      </w:r>
      <w:bookmarkEnd w:id="100128"/>
    </w:p>
    <w:p>
      <w:pPr>
        <w:spacing w:after="120" w:line="312"/>
        <w:jc w:val="both"/>
      </w:pPr>
      <w:r>
        <w:rPr>
          <w:rFonts w:ascii="Calibri"/>
          <w:color w:val="1A2B40"/>
          <w:sz w:val="22"/>
          <w:szCs w:val="22"/>
        </w:rPr>
        <w:t xml:space="preserve">A public status page that provides real-time information about the operational status of all LiveChat services, ensuring transparency about system availability and performance.</w:t>
      </w:r>
    </w:p>
    <w:p>
      <w:pPr>
        <w:pStyle w:val="Heading1"/>
        <w:spacing w:after="200" w:before="480"/>
      </w:pPr>
      <w:bookmarkStart w:id="100129" w:name="_Toc100129"/>
      <w:r>
        <w:rPr>
          <w:rFonts w:ascii="Calibri"/>
          <w:b/>
          <w:bCs/>
          <w:color w:val="0A1628"/>
          <w:sz w:val="36"/>
          <w:szCs w:val="36"/>
        </w:rPr>
        <w:t xml:space="preserve">17. Feature Summary Table</w:t>
      </w:r>
      <w:bookmarkEnd w:id="100129"/>
    </w:p>
    <w:p>
      <w:pPr>
        <w:spacing w:after="120" w:line="312"/>
        <w:jc w:val="both"/>
      </w:pPr>
      <w:r>
        <w:rPr>
          <w:rFonts w:ascii="Calibri"/>
          <w:color w:val="1A2B40"/>
          <w:sz w:val="22"/>
          <w:szCs w:val="22"/>
        </w:rPr>
        <w:t xml:space="preserve">The following table provides a consolidated overview of all feature categories and their key components for reference during clone development.</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tblHeader/>
        </w:trPr>
        <w:tc>
          <w:tcPr>
            <w:shd w:fill="5B8DB8" w:val="clear"/>
            <w:tcMar>
              <w:top w:type="dxa" w:w="60"/>
              <w:left w:type="dxa" w:w="120"/>
              <w:bottom w:type="dxa" w:w="60"/>
              <w:right w:type="dxa" w:w="120"/>
            </w:tcMar>
          </w:tcPr>
          <w:p>
            <w:r>
              <w:rPr>
                <w:rFonts w:ascii="Calibri"/>
                <w:b/>
                <w:bCs/>
                <w:color w:val="FFFFFF"/>
                <w:sz w:val="20"/>
                <w:szCs w:val="20"/>
              </w:rPr>
              <w:t xml:space="preserve">Category</w:t>
            </w:r>
          </w:p>
        </w:tc>
        <w:tc>
          <w:tcPr>
            <w:shd w:fill="5B8DB8" w:val="clear"/>
            <w:tcMar>
              <w:top w:type="dxa" w:w="60"/>
              <w:left w:type="dxa" w:w="120"/>
              <w:bottom w:type="dxa" w:w="60"/>
              <w:right w:type="dxa" w:w="120"/>
            </w:tcMar>
          </w:tcPr>
          <w:p>
            <w:r>
              <w:rPr>
                <w:rFonts w:ascii="Calibri"/>
                <w:b/>
                <w:bCs/>
                <w:color w:val="FFFFFF"/>
                <w:sz w:val="20"/>
                <w:szCs w:val="20"/>
              </w:rPr>
              <w:t xml:space="preserve">Feature Count</w:t>
            </w:r>
          </w:p>
        </w:tc>
        <w:tc>
          <w:tcPr>
            <w:shd w:fill="5B8DB8" w:val="clear"/>
            <w:tcMar>
              <w:top w:type="dxa" w:w="60"/>
              <w:left w:type="dxa" w:w="120"/>
              <w:bottom w:type="dxa" w:w="60"/>
              <w:right w:type="dxa" w:w="120"/>
            </w:tcMar>
          </w:tcPr>
          <w:p>
            <w:r>
              <w:rPr>
                <w:rFonts w:ascii="Calibri"/>
                <w:b/>
                <w:bCs/>
                <w:color w:val="FFFFFF"/>
                <w:sz w:val="20"/>
                <w:szCs w:val="20"/>
              </w:rPr>
              <w:t xml:space="preserve">Key Features</w:t>
            </w:r>
          </w:p>
        </w:tc>
      </w:tr>
      <w:tr>
        <w:tc>
          <w:tcPr>
            <w:shd w:fill="F4F8FC" w:val="clear"/>
            <w:tcMar>
              <w:top w:type="dxa" w:w="60"/>
              <w:left w:type="dxa" w:w="120"/>
              <w:bottom w:type="dxa" w:w="60"/>
              <w:right w:type="dxa" w:w="120"/>
            </w:tcMar>
          </w:tcPr>
          <w:p>
            <w:r>
              <w:rPr>
                <w:rFonts w:ascii="Calibri"/>
                <w:color w:val="1A2B40"/>
                <w:sz w:val="20"/>
                <w:szCs w:val="20"/>
              </w:rPr>
              <w:t xml:space="preserve">Chat Tools</w:t>
            </w:r>
          </w:p>
        </w:tc>
        <w:tc>
          <w:tcPr>
            <w:shd w:fill="F4F8FC" w:val="clear"/>
            <w:tcMar>
              <w:top w:type="dxa" w:w="60"/>
              <w:left w:type="dxa" w:w="120"/>
              <w:bottom w:type="dxa" w:w="60"/>
              <w:right w:type="dxa" w:w="120"/>
            </w:tcMar>
          </w:tcPr>
          <w:p>
            <w:r>
              <w:rPr>
                <w:rFonts w:ascii="Calibri"/>
                <w:color w:val="1A2B40"/>
                <w:sz w:val="20"/>
                <w:szCs w:val="20"/>
              </w:rPr>
              <w:t xml:space="preserve">11</w:t>
            </w:r>
          </w:p>
        </w:tc>
        <w:tc>
          <w:tcPr>
            <w:shd w:fill="F4F8FC" w:val="clear"/>
            <w:tcMar>
              <w:top w:type="dxa" w:w="60"/>
              <w:left w:type="dxa" w:w="120"/>
              <w:bottom w:type="dxa" w:w="60"/>
              <w:right w:type="dxa" w:w="120"/>
            </w:tcMar>
          </w:tcPr>
          <w:p>
            <w:r>
              <w:rPr>
                <w:rFonts w:ascii="Calibri"/>
                <w:color w:val="1A2B40"/>
                <w:sz w:val="20"/>
                <w:szCs w:val="20"/>
              </w:rPr>
              <w:t xml:space="preserve">Sneak peek, canned responses, tags, rich messages, file sharing, archives, inactivity messages, notifications, transfer, ratings, async</w:t>
            </w:r>
          </w:p>
        </w:tc>
      </w:tr>
      <w:tr>
        <w:tc>
          <w:tcPr>
            <w:shd w:fill="F4F8FC" w:val="clear"/>
            <w:tcMar>
              <w:top w:type="dxa" w:w="60"/>
              <w:left w:type="dxa" w:w="120"/>
              <w:bottom w:type="dxa" w:w="60"/>
              <w:right w:type="dxa" w:w="120"/>
            </w:tcMar>
          </w:tcPr>
          <w:p>
            <w:r>
              <w:rPr>
                <w:rFonts w:ascii="Calibri"/>
                <w:color w:val="1A2B40"/>
                <w:sz w:val="20"/>
                <w:szCs w:val="20"/>
              </w:rPr>
              <w:t xml:space="preserve">Messaging Channels</w:t>
            </w:r>
          </w:p>
        </w:tc>
        <w:tc>
          <w:tcPr>
            <w:shd w:fill="F4F8FC" w:val="clear"/>
            <w:tcMar>
              <w:top w:type="dxa" w:w="60"/>
              <w:left w:type="dxa" w:w="120"/>
              <w:bottom w:type="dxa" w:w="60"/>
              <w:right w:type="dxa" w:w="120"/>
            </w:tcMar>
          </w:tcPr>
          <w:p>
            <w:r>
              <w:rPr>
                <w:rFonts w:ascii="Calibri"/>
                <w:color w:val="1A2B40"/>
                <w:sz w:val="20"/>
                <w:szCs w:val="20"/>
              </w:rPr>
              <w:t xml:space="preserve">9</w:t>
            </w:r>
          </w:p>
        </w:tc>
        <w:tc>
          <w:tcPr>
            <w:shd w:fill="F4F8FC" w:val="clear"/>
            <w:tcMar>
              <w:top w:type="dxa" w:w="60"/>
              <w:left w:type="dxa" w:w="120"/>
              <w:bottom w:type="dxa" w:w="60"/>
              <w:right w:type="dxa" w:w="120"/>
            </w:tcMar>
          </w:tcPr>
          <w:p>
            <w:r>
              <w:rPr>
                <w:rFonts w:ascii="Calibri"/>
                <w:color w:val="1A2B40"/>
                <w:sz w:val="20"/>
                <w:szCs w:val="20"/>
              </w:rPr>
              <w:t xml:space="preserve">Widget, Facebook, Instagram, SMS, Email, Voice/Video/Screen Share, WhatsApp, Apple Messages, Chat Page</w:t>
            </w:r>
          </w:p>
        </w:tc>
      </w:tr>
      <w:tr>
        <w:tc>
          <w:tcPr>
            <w:shd w:fill="F4F8FC" w:val="clear"/>
            <w:tcMar>
              <w:top w:type="dxa" w:w="60"/>
              <w:left w:type="dxa" w:w="120"/>
              <w:bottom w:type="dxa" w:w="60"/>
              <w:right w:type="dxa" w:w="120"/>
            </w:tcMar>
          </w:tcPr>
          <w:p>
            <w:r>
              <w:rPr>
                <w:rFonts w:ascii="Calibri"/>
                <w:color w:val="1A2B40"/>
                <w:sz w:val="20"/>
                <w:szCs w:val="20"/>
              </w:rPr>
              <w:t xml:space="preserve">AI Features</w:t>
            </w:r>
          </w:p>
        </w:tc>
        <w:tc>
          <w:tcPr>
            <w:shd w:fill="F4F8FC" w:val="clear"/>
            <w:tcMar>
              <w:top w:type="dxa" w:w="60"/>
              <w:left w:type="dxa" w:w="120"/>
              <w:bottom w:type="dxa" w:w="60"/>
              <w:right w:type="dxa" w:w="120"/>
            </w:tcMar>
          </w:tcPr>
          <w:p>
            <w:r>
              <w:rPr>
                <w:rFonts w:ascii="Calibri"/>
                <w:color w:val="1A2B40"/>
                <w:sz w:val="20"/>
                <w:szCs w:val="20"/>
              </w:rPr>
              <w:t xml:space="preserve">6</w:t>
            </w:r>
          </w:p>
        </w:tc>
        <w:tc>
          <w:tcPr>
            <w:shd w:fill="F4F8FC" w:val="clear"/>
            <w:tcMar>
              <w:top w:type="dxa" w:w="60"/>
              <w:left w:type="dxa" w:w="120"/>
              <w:bottom w:type="dxa" w:w="60"/>
              <w:right w:type="dxa" w:w="120"/>
            </w:tcMar>
          </w:tcPr>
          <w:p>
            <w:r>
              <w:rPr>
                <w:rFonts w:ascii="Calibri"/>
                <w:color w:val="1A2B40"/>
                <w:sz w:val="20"/>
                <w:szCs w:val="20"/>
              </w:rPr>
              <w:t xml:space="preserve">Copilot, text enhancement, tag suggestions, chat summary, weekly insights, ChatBot AI</w:t>
            </w:r>
          </w:p>
        </w:tc>
      </w:tr>
      <w:tr>
        <w:tc>
          <w:tcPr>
            <w:shd w:fill="F4F8FC" w:val="clear"/>
            <w:tcMar>
              <w:top w:type="dxa" w:w="60"/>
              <w:left w:type="dxa" w:w="120"/>
              <w:bottom w:type="dxa" w:w="60"/>
              <w:right w:type="dxa" w:w="120"/>
            </w:tcMar>
          </w:tcPr>
          <w:p>
            <w:r>
              <w:rPr>
                <w:rFonts w:ascii="Calibri"/>
                <w:color w:val="1A2B40"/>
                <w:sz w:val="20"/>
                <w:szCs w:val="20"/>
              </w:rPr>
              <w:t xml:space="preserve">Customization</w:t>
            </w:r>
          </w:p>
        </w:tc>
        <w:tc>
          <w:tcPr>
            <w:shd w:fill="F4F8FC" w:val="clear"/>
            <w:tcMar>
              <w:top w:type="dxa" w:w="60"/>
              <w:left w:type="dxa" w:w="120"/>
              <w:bottom w:type="dxa" w:w="60"/>
              <w:right w:type="dxa" w:w="120"/>
            </w:tcMar>
          </w:tcPr>
          <w:p>
            <w:r>
              <w:rPr>
                <w:rFonts w:ascii="Calibri"/>
                <w:color w:val="1A2B40"/>
                <w:sz w:val="20"/>
                <w:szCs w:val="20"/>
              </w:rPr>
              <w:t xml:space="preserve">5</w:t>
            </w:r>
          </w:p>
        </w:tc>
        <w:tc>
          <w:tcPr>
            <w:shd w:fill="F4F8FC" w:val="clear"/>
            <w:tcMar>
              <w:top w:type="dxa" w:w="60"/>
              <w:left w:type="dxa" w:w="120"/>
              <w:bottom w:type="dxa" w:w="60"/>
              <w:right w:type="dxa" w:w="120"/>
            </w:tcMar>
          </w:tcPr>
          <w:p>
            <w:r>
              <w:rPr>
                <w:rFonts w:ascii="Calibri"/>
                <w:color w:val="1A2B40"/>
                <w:sz w:val="20"/>
                <w:szCs w:val="20"/>
              </w:rPr>
              <w:t xml:space="preserve">Widget customization, agent profiles, accessibility (WCAG 2.1 AA), 45+ languages, chat boosters</w:t>
            </w:r>
          </w:p>
        </w:tc>
      </w:tr>
      <w:tr>
        <w:tc>
          <w:tcPr>
            <w:shd w:fill="F4F8FC" w:val="clear"/>
            <w:tcMar>
              <w:top w:type="dxa" w:w="60"/>
              <w:left w:type="dxa" w:w="120"/>
              <w:bottom w:type="dxa" w:w="60"/>
              <w:right w:type="dxa" w:w="120"/>
            </w:tcMar>
          </w:tcPr>
          <w:p>
            <w:r>
              <w:rPr>
                <w:rFonts w:ascii="Calibri"/>
                <w:color w:val="1A2B40"/>
                <w:sz w:val="20"/>
                <w:szCs w:val="20"/>
              </w:rPr>
              <w:t xml:space="preserve">Customer Engagement</w:t>
            </w:r>
          </w:p>
        </w:tc>
        <w:tc>
          <w:tcPr>
            <w:shd w:fill="F4F8FC" w:val="clear"/>
            <w:tcMar>
              <w:top w:type="dxa" w:w="60"/>
              <w:left w:type="dxa" w:w="120"/>
              <w:bottom w:type="dxa" w:w="60"/>
              <w:right w:type="dxa" w:w="120"/>
            </w:tcMar>
          </w:tcPr>
          <w:p>
            <w:r>
              <w:rPr>
                <w:rFonts w:ascii="Calibri"/>
                <w:color w:val="1A2B40"/>
                <w:sz w:val="20"/>
                <w:szCs w:val="20"/>
              </w:rPr>
              <w:t xml:space="preserve">8</w:t>
            </w:r>
          </w:p>
        </w:tc>
        <w:tc>
          <w:tcPr>
            <w:shd w:fill="F4F8FC" w:val="clear"/>
            <w:tcMar>
              <w:top w:type="dxa" w:w="60"/>
              <w:left w:type="dxa" w:w="120"/>
              <w:bottom w:type="dxa" w:w="60"/>
              <w:right w:type="dxa" w:w="120"/>
            </w:tcMar>
          </w:tcPr>
          <w:p>
            <w:r>
              <w:rPr>
                <w:rFonts w:ascii="Calibri"/>
                <w:color w:val="1A2B40"/>
                <w:sz w:val="20"/>
                <w:szCs w:val="20"/>
              </w:rPr>
              <w:t xml:space="preserve">Targeted messages, eye-catchers, chat buttons, routing rules, availability, assignment, history, transcripts</w:t>
            </w:r>
          </w:p>
        </w:tc>
      </w:tr>
      <w:tr>
        <w:tc>
          <w:tcPr>
            <w:shd w:fill="F4F8FC" w:val="clear"/>
            <w:tcMar>
              <w:top w:type="dxa" w:w="60"/>
              <w:left w:type="dxa" w:w="120"/>
              <w:bottom w:type="dxa" w:w="60"/>
              <w:right w:type="dxa" w:w="120"/>
            </w:tcMar>
          </w:tcPr>
          <w:p>
            <w:r>
              <w:rPr>
                <w:rFonts w:ascii="Calibri"/>
                <w:color w:val="1A2B40"/>
                <w:sz w:val="20"/>
                <w:szCs w:val="20"/>
              </w:rPr>
              <w:t xml:space="preserve">Reports &amp; Analytics</w:t>
            </w:r>
          </w:p>
        </w:tc>
        <w:tc>
          <w:tcPr>
            <w:shd w:fill="F4F8FC" w:val="clear"/>
            <w:tcMar>
              <w:top w:type="dxa" w:w="60"/>
              <w:left w:type="dxa" w:w="120"/>
              <w:bottom w:type="dxa" w:w="60"/>
              <w:right w:type="dxa" w:w="120"/>
            </w:tcMar>
          </w:tcPr>
          <w:p>
            <w:r>
              <w:rPr>
                <w:rFonts w:ascii="Calibri"/>
                <w:color w:val="1A2B40"/>
                <w:sz w:val="20"/>
                <w:szCs w:val="20"/>
              </w:rPr>
              <w:t xml:space="preserve">16</w:t>
            </w:r>
          </w:p>
        </w:tc>
        <w:tc>
          <w:tcPr>
            <w:shd w:fill="F4F8FC" w:val="clear"/>
            <w:tcMar>
              <w:top w:type="dxa" w:w="60"/>
              <w:left w:type="dxa" w:w="120"/>
              <w:bottom w:type="dxa" w:w="60"/>
              <w:right w:type="dxa" w:w="120"/>
            </w:tcMar>
          </w:tcPr>
          <w:p>
            <w:r>
              <w:rPr>
                <w:rFonts w:ascii="Calibri"/>
                <w:color w:val="1A2B40"/>
                <w:sz w:val="20"/>
                <w:szCs w:val="20"/>
              </w:rPr>
              <w:t xml:space="preserve">Dashboard, chat/agent/customer/ecommerce reports, sales tracker, campaign conversion, satisfaction, goals, staffing, traffic</w:t>
            </w:r>
          </w:p>
        </w:tc>
      </w:tr>
      <w:tr>
        <w:tc>
          <w:tcPr>
            <w:shd w:fill="F4F8FC" w:val="clear"/>
            <w:tcMar>
              <w:top w:type="dxa" w:w="60"/>
              <w:left w:type="dxa" w:w="120"/>
              <w:bottom w:type="dxa" w:w="60"/>
              <w:right w:type="dxa" w:w="120"/>
            </w:tcMar>
          </w:tcPr>
          <w:p>
            <w:r>
              <w:rPr>
                <w:rFonts w:ascii="Calibri"/>
                <w:color w:val="1A2B40"/>
                <w:sz w:val="20"/>
                <w:szCs w:val="20"/>
              </w:rPr>
              <w:t xml:space="preserve">Sales &amp; Ecommerce</w:t>
            </w:r>
          </w:p>
        </w:tc>
        <w:tc>
          <w:tcPr>
            <w:shd w:fill="F4F8FC" w:val="clear"/>
            <w:tcMar>
              <w:top w:type="dxa" w:w="60"/>
              <w:left w:type="dxa" w:w="120"/>
              <w:bottom w:type="dxa" w:w="60"/>
              <w:right w:type="dxa" w:w="120"/>
            </w:tcMar>
          </w:tcPr>
          <w:p>
            <w:r>
              <w:rPr>
                <w:rFonts w:ascii="Calibri"/>
                <w:color w:val="1A2B40"/>
                <w:sz w:val="20"/>
                <w:szCs w:val="20"/>
              </w:rPr>
              <w:t xml:space="preserve">4</w:t>
            </w:r>
          </w:p>
        </w:tc>
        <w:tc>
          <w:tcPr>
            <w:shd w:fill="F4F8FC" w:val="clear"/>
            <w:tcMar>
              <w:top w:type="dxa" w:w="60"/>
              <w:left w:type="dxa" w:w="120"/>
              <w:bottom w:type="dxa" w:w="60"/>
              <w:right w:type="dxa" w:w="120"/>
            </w:tcMar>
          </w:tcPr>
          <w:p>
            <w:r>
              <w:rPr>
                <w:rFonts w:ascii="Calibri"/>
                <w:color w:val="1A2B40"/>
                <w:sz w:val="20"/>
                <w:szCs w:val="20"/>
              </w:rPr>
              <w:t xml:space="preserve">Customer data, product cards, ecommerce integrations, goals and sales tracker</w:t>
            </w:r>
          </w:p>
        </w:tc>
      </w:tr>
      <w:tr>
        <w:tc>
          <w:tcPr>
            <w:shd w:fill="F4F8FC" w:val="clear"/>
            <w:tcMar>
              <w:top w:type="dxa" w:w="60"/>
              <w:left w:type="dxa" w:w="120"/>
              <w:bottom w:type="dxa" w:w="60"/>
              <w:right w:type="dxa" w:w="120"/>
            </w:tcMar>
          </w:tcPr>
          <w:p>
            <w:r>
              <w:rPr>
                <w:rFonts w:ascii="Calibri"/>
                <w:color w:val="1A2B40"/>
                <w:sz w:val="20"/>
                <w:szCs w:val="20"/>
              </w:rPr>
              <w:t xml:space="preserve">Team Management</w:t>
            </w:r>
          </w:p>
        </w:tc>
        <w:tc>
          <w:tcPr>
            <w:shd w:fill="F4F8FC" w:val="clear"/>
            <w:tcMar>
              <w:top w:type="dxa" w:w="60"/>
              <w:left w:type="dxa" w:w="120"/>
              <w:bottom w:type="dxa" w:w="60"/>
              <w:right w:type="dxa" w:w="120"/>
            </w:tcMar>
          </w:tcPr>
          <w:p>
            <w:r>
              <w:rPr>
                <w:rFonts w:ascii="Calibri"/>
                <w:color w:val="1A2B40"/>
                <w:sz w:val="20"/>
                <w:szCs w:val="20"/>
              </w:rPr>
              <w:t xml:space="preserve">6</w:t>
            </w:r>
          </w:p>
        </w:tc>
        <w:tc>
          <w:tcPr>
            <w:shd w:fill="F4F8FC" w:val="clear"/>
            <w:tcMar>
              <w:top w:type="dxa" w:w="60"/>
              <w:left w:type="dxa" w:w="120"/>
              <w:bottom w:type="dxa" w:w="60"/>
              <w:right w:type="dxa" w:w="120"/>
            </w:tcMar>
          </w:tcPr>
          <w:p>
            <w:r>
              <w:rPr>
                <w:rFonts w:ascii="Calibri"/>
                <w:color w:val="1A2B40"/>
                <w:sz w:val="20"/>
                <w:szCs w:val="20"/>
              </w:rPr>
              <w:t xml:space="preserve">Agent accounts, groups/departments, supervision, roles, chat limit, work scheduler</w:t>
            </w:r>
          </w:p>
        </w:tc>
      </w:tr>
      <w:tr>
        <w:tc>
          <w:tcPr>
            <w:shd w:fill="F4F8FC" w:val="clear"/>
            <w:tcMar>
              <w:top w:type="dxa" w:w="60"/>
              <w:left w:type="dxa" w:w="120"/>
              <w:bottom w:type="dxa" w:w="60"/>
              <w:right w:type="dxa" w:w="120"/>
            </w:tcMar>
          </w:tcPr>
          <w:p>
            <w:r>
              <w:rPr>
                <w:rFonts w:ascii="Calibri"/>
                <w:color w:val="1A2B40"/>
                <w:sz w:val="20"/>
                <w:szCs w:val="20"/>
              </w:rPr>
              <w:t xml:space="preserve">Security</w:t>
            </w:r>
          </w:p>
        </w:tc>
        <w:tc>
          <w:tcPr>
            <w:shd w:fill="F4F8FC" w:val="clear"/>
            <w:tcMar>
              <w:top w:type="dxa" w:w="60"/>
              <w:left w:type="dxa" w:w="120"/>
              <w:bottom w:type="dxa" w:w="60"/>
              <w:right w:type="dxa" w:w="120"/>
            </w:tcMar>
          </w:tcPr>
          <w:p>
            <w:r>
              <w:rPr>
                <w:rFonts w:ascii="Calibri"/>
                <w:color w:val="1A2B40"/>
                <w:sz w:val="20"/>
                <w:szCs w:val="20"/>
              </w:rPr>
              <w:t xml:space="preserve">8</w:t>
            </w:r>
          </w:p>
        </w:tc>
        <w:tc>
          <w:tcPr>
            <w:shd w:fill="F4F8FC" w:val="clear"/>
            <w:tcMar>
              <w:top w:type="dxa" w:w="60"/>
              <w:left w:type="dxa" w:w="120"/>
              <w:bottom w:type="dxa" w:w="60"/>
              <w:right w:type="dxa" w:w="120"/>
            </w:tcMar>
          </w:tcPr>
          <w:p>
            <w:r>
              <w:rPr>
                <w:rFonts w:ascii="Calibri"/>
                <w:color w:val="1A2B40"/>
                <w:sz w:val="20"/>
                <w:szCs w:val="20"/>
              </w:rPr>
              <w:t xml:space="preserve">256-bit SSL, credit card masking, data centers, IP restriction, visitor banning, Google auth, 2FA, SSO</w:t>
            </w:r>
          </w:p>
        </w:tc>
      </w:tr>
      <w:tr>
        <w:tc>
          <w:tcPr>
            <w:shd w:fill="F4F8FC" w:val="clear"/>
            <w:tcMar>
              <w:top w:type="dxa" w:w="60"/>
              <w:left w:type="dxa" w:w="120"/>
              <w:bottom w:type="dxa" w:w="60"/>
              <w:right w:type="dxa" w:w="120"/>
            </w:tcMar>
          </w:tcPr>
          <w:p>
            <w:r>
              <w:rPr>
                <w:rFonts w:ascii="Calibri"/>
                <w:color w:val="1A2B40"/>
                <w:sz w:val="20"/>
                <w:szCs w:val="20"/>
              </w:rPr>
              <w:t xml:space="preserve">Compliance</w:t>
            </w:r>
          </w:p>
        </w:tc>
        <w:tc>
          <w:tcPr>
            <w:shd w:fill="F4F8FC" w:val="clear"/>
            <w:tcMar>
              <w:top w:type="dxa" w:w="60"/>
              <w:left w:type="dxa" w:w="120"/>
              <w:bottom w:type="dxa" w:w="60"/>
              <w:right w:type="dxa" w:w="120"/>
            </w:tcMar>
          </w:tcPr>
          <w:p>
            <w:r>
              <w:rPr>
                <w:rFonts w:ascii="Calibri"/>
                <w:color w:val="1A2B40"/>
                <w:sz w:val="20"/>
                <w:szCs w:val="20"/>
              </w:rPr>
              <w:t xml:space="preserve">4</w:t>
            </w:r>
          </w:p>
        </w:tc>
        <w:tc>
          <w:tcPr>
            <w:shd w:fill="F4F8FC" w:val="clear"/>
            <w:tcMar>
              <w:top w:type="dxa" w:w="60"/>
              <w:left w:type="dxa" w:w="120"/>
              <w:bottom w:type="dxa" w:w="60"/>
              <w:right w:type="dxa" w:w="120"/>
            </w:tcMar>
          </w:tcPr>
          <w:p>
            <w:r>
              <w:rPr>
                <w:rFonts w:ascii="Calibri"/>
                <w:color w:val="1A2B40"/>
                <w:sz w:val="20"/>
                <w:szCs w:val="20"/>
              </w:rPr>
              <w:t xml:space="preserve">GDPR, HIPAA, Privacy Shield, CSA STAR</w:t>
            </w:r>
          </w:p>
        </w:tc>
      </w:tr>
      <w:tr>
        <w:tc>
          <w:tcPr>
            <w:shd w:fill="F4F8FC" w:val="clear"/>
            <w:tcMar>
              <w:top w:type="dxa" w:w="60"/>
              <w:left w:type="dxa" w:w="120"/>
              <w:bottom w:type="dxa" w:w="60"/>
              <w:right w:type="dxa" w:w="120"/>
            </w:tcMar>
          </w:tcPr>
          <w:p>
            <w:r>
              <w:rPr>
                <w:rFonts w:ascii="Calibri"/>
                <w:color w:val="1A2B40"/>
                <w:sz w:val="20"/>
                <w:szCs w:val="20"/>
              </w:rPr>
              <w:t xml:space="preserve">APIs</w:t>
            </w:r>
          </w:p>
        </w:tc>
        <w:tc>
          <w:tcPr>
            <w:shd w:fill="F4F8FC" w:val="clear"/>
            <w:tcMar>
              <w:top w:type="dxa" w:w="60"/>
              <w:left w:type="dxa" w:w="120"/>
              <w:bottom w:type="dxa" w:w="60"/>
              <w:right w:type="dxa" w:w="120"/>
            </w:tcMar>
          </w:tcPr>
          <w:p>
            <w:r>
              <w:rPr>
                <w:rFonts w:ascii="Calibri"/>
                <w:color w:val="1A2B40"/>
                <w:sz w:val="20"/>
                <w:szCs w:val="20"/>
              </w:rPr>
              <w:t xml:space="preserve">5</w:t>
            </w:r>
          </w:p>
        </w:tc>
        <w:tc>
          <w:tcPr>
            <w:shd w:fill="F4F8FC" w:val="clear"/>
            <w:tcMar>
              <w:top w:type="dxa" w:w="60"/>
              <w:left w:type="dxa" w:w="120"/>
              <w:bottom w:type="dxa" w:w="60"/>
              <w:right w:type="dxa" w:w="120"/>
            </w:tcMar>
          </w:tcPr>
          <w:p>
            <w:r>
              <w:rPr>
                <w:rFonts w:ascii="Calibri"/>
                <w:color w:val="1A2B40"/>
                <w:sz w:val="20"/>
                <w:szCs w:val="20"/>
              </w:rPr>
              <w:t xml:space="preserve">Customer SDK, Webhooks, Widget JS API, Chat API (REST), Reports API</w:t>
            </w:r>
          </w:p>
        </w:tc>
      </w:tr>
      <w:tr>
        <w:tc>
          <w:tcPr>
            <w:shd w:fill="F4F8FC" w:val="clear"/>
            <w:tcMar>
              <w:top w:type="dxa" w:w="60"/>
              <w:left w:type="dxa" w:w="120"/>
              <w:bottom w:type="dxa" w:w="60"/>
              <w:right w:type="dxa" w:w="120"/>
            </w:tcMar>
          </w:tcPr>
          <w:p>
            <w:r>
              <w:rPr>
                <w:rFonts w:ascii="Calibri"/>
                <w:color w:val="1A2B40"/>
                <w:sz w:val="20"/>
                <w:szCs w:val="20"/>
              </w:rPr>
              <w:t xml:space="preserve">Integrations</w:t>
            </w:r>
          </w:p>
        </w:tc>
        <w:tc>
          <w:tcPr>
            <w:shd w:fill="F4F8FC" w:val="clear"/>
            <w:tcMar>
              <w:top w:type="dxa" w:w="60"/>
              <w:left w:type="dxa" w:w="120"/>
              <w:bottom w:type="dxa" w:w="60"/>
              <w:right w:type="dxa" w:w="120"/>
            </w:tcMar>
          </w:tcPr>
          <w:p>
            <w:r>
              <w:rPr>
                <w:rFonts w:ascii="Calibri"/>
                <w:color w:val="1A2B40"/>
                <w:sz w:val="20"/>
                <w:szCs w:val="20"/>
              </w:rPr>
              <w:t xml:space="preserve">200+</w:t>
            </w:r>
          </w:p>
        </w:tc>
        <w:tc>
          <w:tcPr>
            <w:shd w:fill="F4F8FC" w:val="clear"/>
            <w:tcMar>
              <w:top w:type="dxa" w:w="60"/>
              <w:left w:type="dxa" w:w="120"/>
              <w:bottom w:type="dxa" w:w="60"/>
              <w:right w:type="dxa" w:w="120"/>
            </w:tcMar>
          </w:tcPr>
          <w:p>
            <w:r>
              <w:rPr>
                <w:rFonts w:ascii="Calibri"/>
                <w:color w:val="1A2B40"/>
                <w:sz w:val="20"/>
                <w:szCs w:val="20"/>
              </w:rPr>
              <w:t xml:space="preserve">Shopify, BigCommerce, Mailchimp, HubSpot, Salesforce, Slack, Teams, Zapier, and more</w:t>
            </w:r>
          </w:p>
        </w:tc>
      </w:tr>
      <w:tr>
        <w:tc>
          <w:tcPr>
            <w:shd w:fill="F4F8FC" w:val="clear"/>
            <w:tcMar>
              <w:top w:type="dxa" w:w="60"/>
              <w:left w:type="dxa" w:w="120"/>
              <w:bottom w:type="dxa" w:w="60"/>
              <w:right w:type="dxa" w:w="120"/>
            </w:tcMar>
          </w:tcPr>
          <w:p>
            <w:r>
              <w:rPr>
                <w:rFonts w:ascii="Calibri"/>
                <w:color w:val="1A2B40"/>
                <w:sz w:val="20"/>
                <w:szCs w:val="20"/>
              </w:rPr>
              <w:t xml:space="preserve">HelpDesk</w:t>
            </w:r>
          </w:p>
        </w:tc>
        <w:tc>
          <w:tcPr>
            <w:shd w:fill="F4F8FC" w:val="clear"/>
            <w:tcMar>
              <w:top w:type="dxa" w:w="60"/>
              <w:left w:type="dxa" w:w="120"/>
              <w:bottom w:type="dxa" w:w="60"/>
              <w:right w:type="dxa" w:w="120"/>
            </w:tcMar>
          </w:tcPr>
          <w:p>
            <w:r>
              <w:rPr>
                <w:rFonts w:ascii="Calibri"/>
                <w:color w:val="1A2B40"/>
                <w:sz w:val="20"/>
                <w:szCs w:val="20"/>
              </w:rPr>
              <w:t xml:space="preserve">6</w:t>
            </w:r>
          </w:p>
        </w:tc>
        <w:tc>
          <w:tcPr>
            <w:shd w:fill="F4F8FC" w:val="clear"/>
            <w:tcMar>
              <w:top w:type="dxa" w:w="60"/>
              <w:left w:type="dxa" w:w="120"/>
              <w:bottom w:type="dxa" w:w="60"/>
              <w:right w:type="dxa" w:w="120"/>
            </w:tcMar>
          </w:tcPr>
          <w:p>
            <w:r>
              <w:rPr>
                <w:rFonts w:ascii="Calibri"/>
                <w:color w:val="1A2B40"/>
                <w:sz w:val="20"/>
                <w:szCs w:val="20"/>
              </w:rPr>
              <w:t xml:space="preserve">Ticket management, shared inbox, routing, internal notes, SLA, collision detection</w:t>
            </w:r>
          </w:p>
        </w:tc>
      </w:tr>
      <w:tr>
        <w:tc>
          <w:tcPr>
            <w:shd w:fill="F4F8FC" w:val="clear"/>
            <w:tcMar>
              <w:top w:type="dxa" w:w="60"/>
              <w:left w:type="dxa" w:w="120"/>
              <w:bottom w:type="dxa" w:w="60"/>
              <w:right w:type="dxa" w:w="120"/>
            </w:tcMar>
          </w:tcPr>
          <w:p>
            <w:r>
              <w:rPr>
                <w:rFonts w:ascii="Calibri"/>
                <w:color w:val="1A2B40"/>
                <w:sz w:val="20"/>
                <w:szCs w:val="20"/>
              </w:rPr>
              <w:t xml:space="preserve">KnowledgeBase</w:t>
            </w:r>
          </w:p>
        </w:tc>
        <w:tc>
          <w:tcPr>
            <w:shd w:fill="F4F8FC" w:val="clear"/>
            <w:tcMar>
              <w:top w:type="dxa" w:w="60"/>
              <w:left w:type="dxa" w:w="120"/>
              <w:bottom w:type="dxa" w:w="60"/>
              <w:right w:type="dxa" w:w="120"/>
            </w:tcMar>
          </w:tcPr>
          <w:p>
            <w:r>
              <w:rPr>
                <w:rFonts w:ascii="Calibri"/>
                <w:color w:val="1A2B40"/>
                <w:sz w:val="20"/>
                <w:szCs w:val="20"/>
              </w:rPr>
              <w:t xml:space="preserve">4</w:t>
            </w:r>
          </w:p>
        </w:tc>
        <w:tc>
          <w:tcPr>
            <w:shd w:fill="F4F8FC" w:val="clear"/>
            <w:tcMar>
              <w:top w:type="dxa" w:w="60"/>
              <w:left w:type="dxa" w:w="120"/>
              <w:bottom w:type="dxa" w:w="60"/>
              <w:right w:type="dxa" w:w="120"/>
            </w:tcMar>
          </w:tcPr>
          <w:p>
            <w:r>
              <w:rPr>
                <w:rFonts w:ascii="Calibri"/>
                <w:color w:val="1A2B40"/>
                <w:sz w:val="20"/>
                <w:szCs w:val="20"/>
              </w:rPr>
              <w:t xml:space="preserve">Article management, search, widget integration, analytics</w:t>
            </w:r>
          </w:p>
        </w:tc>
      </w:tr>
    </w:tbl>
    <w:p>
      <w:pPr>
        <w:spacing w:after="200"/>
      </w:pPr>
    </w:p>
    <w:p>
      <w:pPr>
        <w:spacing w:after="120" w:line="312"/>
        <w:jc w:val="both"/>
      </w:pPr>
      <w:r>
        <w:rPr>
          <w:rFonts w:ascii="Calibri"/>
          <w:color w:val="1A2B40"/>
          <w:sz w:val="22"/>
          <w:szCs w:val="22"/>
        </w:rPr>
        <w:t xml:space="preserve">This document represents the complete feature set of the LiveChat.com platform as of May 2026. With over 130 individual features across 14 major categories, building a comprehensive clone requires careful planning, a robust technical architecture, and iterative development. It is recommended to prioritize features based on the target market's needs, starting with the core live chat functionality (Section 3 and 4), then progressively adding AI features (Section 5), customization (Section 6), analytics (Section 8), and the extended product ecosystem (Sections 14-15).</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6878A0"/>
        <w:sz w:val="18"/>
        <w:szCs w:val="18"/>
      </w:rPr>
      <w:t xml:space="preserve">LiveChat.com Complete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b/>
      <w:bCs/>
      <w:color w:val="0A1628"/>
      <w:sz w:val="36"/>
      <w:szCs w:val="36"/>
    </w:rPr>
  </w:style>
  <w:style w:type="paragraph" w:styleId="Heading2">
    <w:pPr>
      <w:outlineLvl w:val="1"/>
    </w:pPr>
    <w:name w:val="Heading 2"/>
    <w:basedOn w:val="Normal"/>
    <w:next w:val="Normal"/>
    <w:qFormat/>
    <w:rPr>
      <w:rFonts w:ascii="Calibri"/>
      <w:b/>
      <w:bCs/>
      <w:color w:val="0A1628"/>
      <w:sz w:val="30"/>
      <w:szCs w:val="30"/>
    </w:rPr>
  </w:style>
  <w:style w:type="paragraph" w:styleId="Heading3">
    <w:pPr>
      <w:outlineLvl w:val="2"/>
    </w:pPr>
    <w:name w:val="Heading 3"/>
    <w:basedOn w:val="Normal"/>
    <w:next w:val="Normal"/>
    <w:qFormat/>
    <w:rPr>
      <w:rFonts w:ascii="Calibri"/>
      <w:b/>
      <w:bCs/>
      <w:color w:val="1A2B4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2026-05-26T20:36:45.055Z</dcterms:created>
  <dcterms:modified xsi:type="dcterms:W3CDTF">2026-05-26T20:36:45.057Z</dcterms:modified>
</cp:coreProperties>
</file>

<file path=docProps/custom.xml><?xml version="1.0" encoding="utf-8"?>
<Properties xmlns="http://schemas.openxmlformats.org/officeDocument/2006/custom-properties" xmlns:vt="http://schemas.openxmlformats.org/officeDocument/2006/docPropsVTypes"/>
</file>