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Mar>
              <w:top w:type="dxa" w:w="0"/>
              <w:left w:type="dxa" w:w="0"/>
              <w:bottom w:type="dxa" w:w="0"/>
              <w:right w:type="dxa" w:w="0"/>
            </w:tcMar>
          </w:tcPr>
          <w:p>
            <w:pPr>
              <w:pBdr>
                <w:bottom w:val="single" w:color="37DCF2" w:sz="6" w:space="0"/>
              </w:pBdr>
              <w:spacing w:after="0" w:before="0"/>
            </w:pPr>
          </w:p>
          <w:p>
            <w:pPr>
              <w:spacing w:after="2800" w:before="2800"/>
            </w:pPr>
          </w:p>
          <w:p>
            <w:pPr>
              <w:spacing w:after="100" w:line="1012" w:lineRule="atLeast"/>
              <w:ind w:left="1200" w:right="1200"/>
              <w:jc w:val="left"/>
            </w:pPr>
            <w:r>
              <w:rPr>
                <w:rFonts w:ascii="Times New Roman"/>
                <w:b/>
                <w:bCs/>
                <w:color w:val="FFFFFF"/>
                <w:sz w:val="56"/>
                <w:szCs w:val="56"/>
              </w:rPr>
              <w:t xml:space="preserve">NexusTrade Exchange</w:t>
            </w:r>
          </w:p>
          <w:p>
            <w:pPr>
              <w:spacing w:after="200" w:before="200"/>
            </w:pPr>
          </w:p>
          <w:p>
            <w:pPr>
              <w:spacing w:after="100" w:line="644" w:lineRule="atLeast"/>
              <w:ind w:left="1200" w:right="1200"/>
              <w:jc w:val="left"/>
            </w:pPr>
            <w:r>
              <w:rPr>
                <w:rFonts w:ascii="Times New Roman"/>
                <w:color w:val="B0B8C0"/>
                <w:sz w:val="28"/>
                <w:szCs w:val="28"/>
              </w:rPr>
              <w:t xml:space="preserve">Enterprise-Grade Cryptocurrency Exchange Platform</w:t>
            </w:r>
          </w:p>
          <w:p>
            <w:pPr>
              <w:spacing w:after="800" w:before="800"/>
            </w:pPr>
          </w:p>
          <w:p>
            <w:pPr>
              <w:spacing w:after="60"/>
              <w:ind w:left="1200"/>
              <w:jc w:val="left"/>
            </w:pPr>
            <w:r>
              <w:rPr>
                <w:rFonts w:ascii="Times New Roman"/>
                <w:color w:val="90989F"/>
                <w:sz w:val="22"/>
                <w:szCs w:val="22"/>
              </w:rPr>
              <w:t xml:space="preserve">Software Requirements Document</w:t>
            </w:r>
          </w:p>
          <w:p>
            <w:pPr>
              <w:spacing w:after="60"/>
              <w:ind w:left="1200"/>
              <w:jc w:val="left"/>
            </w:pPr>
            <w:r>
              <w:rPr>
                <w:rFonts w:ascii="Times New Roman"/>
                <w:color w:val="90989F"/>
                <w:sz w:val="22"/>
                <w:szCs w:val="22"/>
              </w:rPr>
              <w:t xml:space="preserve">Version 1.0 | Confidential</w:t>
            </w:r>
          </w:p>
          <w:p>
            <w:pPr>
              <w:spacing w:after="60"/>
              <w:ind w:left="1200"/>
              <w:jc w:val="left"/>
            </w:pPr>
            <w:r>
              <w:rPr>
                <w:rFonts w:ascii="Times New Roman"/>
                <w:color w:val="90989F"/>
                <w:sz w:val="22"/>
                <w:szCs w:val="22"/>
              </w:rPr>
              <w:t xml:space="preserve">June 2026</w:t>
            </w:r>
          </w:p>
          <w:p>
            <w:pPr>
              <w:spacing w:after="1400" w:before="1400"/>
            </w:pPr>
          </w:p>
          <w:p>
            <w:pPr>
              <w:pBdr>
                <w:top w:val="single" w:color="37DCF2" w:sz="6" w:space="0"/>
              </w:pBdr>
              <w:spacing w:after="0" w:before="0"/>
            </w:pPr>
          </w:p>
        </w:tc>
      </w:tr>
    </w:tbl>
    <w:p>
      <w:pPr>
        <w:sectPr>
          <w:pgSz w:w="11906" w:h="16838" w:orient="portrait"/>
          <w:pgMar w:top="0" w:right="0" w:bottom="0" w:left="0" w:header="708" w:footer="708" w:gutter="0"/>
          <w:pgNumType/>
          <w:docGrid w:linePitch="360"/>
        </w:sectPr>
      </w:pPr>
    </w:p>
    <w:p>
      <w:pPr>
        <w:spacing w:after="300" w:before="400" w:line="312"/>
      </w:pPr>
      <w:r>
        <w:rPr>
          <w:rFonts w:ascii="Times New Roman"/>
          <w:b/>
          <w:bCs/>
          <w:color w:val="0F2027"/>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Section 1: Executive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Business Goals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Platform Vision</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User Types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Market Positioning</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1.5 Revenue Model</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1.6 Platform Ecosystem</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Section 2: Complete Feature Inventory</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2.1 User Features</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2.1.1 Registration and Onboarding</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2.1.2 Authentication and MFA</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2.1.3 User Profile and Account Management</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2.1.4 KYC and Identity Verification</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2.1.5 Referral and Affiliate System</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2.2 Wallet Features</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2.2.1 Deposit System</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2.2.2 Withdrawal System</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2.2.3 Wallet Architecture Overview</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2.3 Spot Trading</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2.4 Margin Trading</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2.5 Futures Trading</w:t>
            </w:r>
            <w:r>
              <w:tab/>
            </w:r>
            <w:r>
              <w:fldChar w:fldCharType="begin"/>
            </w:r>
            <w:r>
              <w:instrText xml:space="preserve"> PAGEREF _Toc100020 \h </w:instrText>
            </w:r>
            <w:r>
              <w:fldChar w:fldCharType="separate"/>
            </w:r>
            <w:r>
              <w:t>8</w:t>
            </w:r>
            <w:r>
              <w:fldChar w:fldCharType="end"/>
            </w:r>
          </w:hyperlink>
        </w:p>
        <w:p>
          <w:pPr>
            <w:pStyle w:val="12"/>
            <w:ind w:left="720"/>
            <w:tabs>
              <w:tab w:val="right" w:leader="dot" w:pos="9026"/>
            </w:tabs>
            <w:spacing w:before="120" w:after="60"/>
          </w:pPr>
          <w:hyperlink w:anchor="_Toc100021" w:history="1">
            <w:r>
              <w:rPr>
                <w:rStyle w:val="Hyperlink"/>
              </w:rPr>
              <w:t>2.5.1 Perpetual Futures</w:t>
            </w:r>
            <w:r>
              <w:tab/>
            </w:r>
            <w:r>
              <w:fldChar w:fldCharType="begin"/>
            </w:r>
            <w:r>
              <w:instrText xml:space="preserve"> PAGEREF _Toc100021 \h </w:instrText>
            </w:r>
            <w:r>
              <w:fldChar w:fldCharType="separate"/>
            </w:r>
            <w:r>
              <w:t>8</w:t>
            </w:r>
            <w:r>
              <w:fldChar w:fldCharType="end"/>
            </w:r>
          </w:hyperlink>
        </w:p>
        <w:p>
          <w:pPr>
            <w:pStyle w:val="12"/>
            <w:ind w:left="720"/>
            <w:tabs>
              <w:tab w:val="right" w:leader="dot" w:pos="9026"/>
            </w:tabs>
            <w:spacing w:before="120" w:after="60"/>
          </w:pPr>
          <w:hyperlink w:anchor="_Toc100022" w:history="1">
            <w:r>
              <w:rPr>
                <w:rStyle w:val="Hyperlink"/>
              </w:rPr>
              <w:t>2.5.2 Delivery Futures</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2.5.3 Risk Management and Liquidation Engine</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2.6 Options Trading</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2.7 Staking and Earn Products</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2.7.1 Staking</w:t>
            </w:r>
            <w:r>
              <w:tab/>
            </w:r>
            <w:r>
              <w:fldChar w:fldCharType="begin"/>
            </w:r>
            <w:r>
              <w:instrText xml:space="preserve"> PAGEREF _Toc100026 \h </w:instrText>
            </w:r>
            <w:r>
              <w:fldChar w:fldCharType="separate"/>
            </w:r>
            <w:r>
              <w:t>10</w:t>
            </w:r>
            <w:r>
              <w:fldChar w:fldCharType="end"/>
            </w:r>
          </w:hyperlink>
        </w:p>
        <w:p>
          <w:pPr>
            <w:pStyle w:val="12"/>
            <w:ind w:left="720"/>
            <w:tabs>
              <w:tab w:val="right" w:leader="dot" w:pos="9026"/>
            </w:tabs>
            <w:spacing w:before="120" w:after="60"/>
          </w:pPr>
          <w:hyperlink w:anchor="_Toc100027" w:history="1">
            <w:r>
              <w:rPr>
                <w:rStyle w:val="Hyperlink"/>
              </w:rPr>
              <w:t>2.7.2 Earn Products</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2.8 NFT Marketplace</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2.9 P2P Trading</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2.10 Copy Trading</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2.11 API Platform</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2.12 Mobile Applications</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Section 3: System Architecture</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3.1 High-Level Architecture</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3.2 Microservice Architecture</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3.3 Event-Driven Architecture</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3.4 API Gateway</w:t>
            </w:r>
            <w:r>
              <w:tab/>
            </w:r>
            <w:r>
              <w:fldChar w:fldCharType="begin"/>
            </w:r>
            <w:r>
              <w:instrText xml:space="preserve"> PAGEREF _Toc100037 \h </w:instrText>
            </w:r>
            <w:r>
              <w:fldChar w:fldCharType="separate"/>
            </w:r>
            <w:r>
              <w:t>14</w:t>
            </w:r>
            <w:r>
              <w:fldChar w:fldCharType="end"/>
            </w:r>
          </w:hyperlink>
        </w:p>
        <w:p>
          <w:pPr>
            <w:pStyle w:val="9"/>
            <w:tabs>
              <w:tab w:val="right" w:leader="dot" w:pos="9026"/>
            </w:tabs>
            <w:spacing w:before="120" w:after="60"/>
          </w:pPr>
          <w:hyperlink w:anchor="_Toc100038" w:history="1">
            <w:r>
              <w:rPr>
                <w:rStyle w:val="Hyperlink"/>
              </w:rPr>
              <w:t>Section 4: Matching Engine</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4.1 Architecture Overview</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4.2 Order Book Data Structure</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4.3 Matching Algorithm</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4.4 Performance Targets</w:t>
            </w:r>
            <w:r>
              <w:tab/>
            </w:r>
            <w:r>
              <w:fldChar w:fldCharType="begin"/>
            </w:r>
            <w:r>
              <w:instrText xml:space="preserve"> PAGEREF _Toc100042 \h </w:instrText>
            </w:r>
            <w:r>
              <w:fldChar w:fldCharType="separate"/>
            </w:r>
            <w:r>
              <w:t>16</w:t>
            </w:r>
            <w:r>
              <w:fldChar w:fldCharType="end"/>
            </w:r>
          </w:hyperlink>
        </w:p>
        <w:p>
          <w:pPr>
            <w:pStyle w:val="11"/>
            <w:ind w:left="360"/>
            <w:tabs>
              <w:tab w:val="right" w:leader="dot" w:pos="9026"/>
            </w:tabs>
            <w:spacing w:before="120" w:after="60"/>
          </w:pPr>
          <w:hyperlink w:anchor="_Toc100043" w:history="1">
            <w:r>
              <w:rPr>
                <w:rStyle w:val="Hyperlink"/>
              </w:rPr>
              <w:t>4.5 Failover and Replication</w:t>
            </w:r>
            <w:r>
              <w:tab/>
            </w:r>
            <w:r>
              <w:fldChar w:fldCharType="begin"/>
            </w:r>
            <w:r>
              <w:instrText xml:space="preserve"> PAGEREF _Toc100043 \h </w:instrText>
            </w:r>
            <w:r>
              <w:fldChar w:fldCharType="separate"/>
            </w:r>
            <w:r>
              <w:t>16</w:t>
            </w:r>
            <w:r>
              <w:fldChar w:fldCharType="end"/>
            </w:r>
          </w:hyperlink>
        </w:p>
        <w:p>
          <w:pPr>
            <w:pStyle w:val="9"/>
            <w:tabs>
              <w:tab w:val="right" w:leader="dot" w:pos="9026"/>
            </w:tabs>
            <w:spacing w:before="120" w:after="60"/>
          </w:pPr>
          <w:hyperlink w:anchor="_Toc100044" w:history="1">
            <w:r>
              <w:rPr>
                <w:rStyle w:val="Hyperlink"/>
              </w:rPr>
              <w:t>Section 5: Blockchain Infrastructure</w:t>
            </w:r>
            <w:r>
              <w:tab/>
            </w:r>
            <w:r>
              <w:fldChar w:fldCharType="begin"/>
            </w:r>
            <w:r>
              <w:instrText xml:space="preserve"> PAGEREF _Toc100044 \h </w:instrText>
            </w:r>
            <w:r>
              <w:fldChar w:fldCharType="separate"/>
            </w:r>
            <w:r>
              <w:t>17</w:t>
            </w:r>
            <w:r>
              <w:fldChar w:fldCharType="end"/>
            </w:r>
          </w:hyperlink>
        </w:p>
        <w:p>
          <w:pPr>
            <w:pStyle w:val="11"/>
            <w:ind w:left="360"/>
            <w:tabs>
              <w:tab w:val="right" w:leader="dot" w:pos="9026"/>
            </w:tabs>
            <w:spacing w:before="120" w:after="60"/>
          </w:pPr>
          <w:hyperlink w:anchor="_Toc100045" w:history="1">
            <w:r>
              <w:rPr>
                <w:rStyle w:val="Hyperlink"/>
              </w:rPr>
              <w:t>5.1 Supported Networks</w:t>
            </w:r>
            <w:r>
              <w:tab/>
            </w:r>
            <w:r>
              <w:fldChar w:fldCharType="begin"/>
            </w:r>
            <w:r>
              <w:instrText xml:space="preserve"> PAGEREF _Toc100045 \h </w:instrText>
            </w:r>
            <w:r>
              <w:fldChar w:fldCharType="separate"/>
            </w:r>
            <w:r>
              <w:t>17</w:t>
            </w:r>
            <w:r>
              <w:fldChar w:fldCharType="end"/>
            </w:r>
          </w:hyperlink>
        </w:p>
        <w:p>
          <w:pPr>
            <w:pStyle w:val="11"/>
            <w:ind w:left="360"/>
            <w:tabs>
              <w:tab w:val="right" w:leader="dot" w:pos="9026"/>
            </w:tabs>
            <w:spacing w:before="120" w:after="60"/>
          </w:pPr>
          <w:hyperlink w:anchor="_Toc100046" w:history="1">
            <w:r>
              <w:rPr>
                <w:rStyle w:val="Hyperlink"/>
              </w:rPr>
              <w:t>5.2 Node Architecture</w:t>
            </w:r>
            <w:r>
              <w:tab/>
            </w:r>
            <w:r>
              <w:fldChar w:fldCharType="begin"/>
            </w:r>
            <w:r>
              <w:instrText xml:space="preserve"> PAGEREF _Toc100046 \h </w:instrText>
            </w:r>
            <w:r>
              <w:fldChar w:fldCharType="separate"/>
            </w:r>
            <w:r>
              <w:t>17</w:t>
            </w:r>
            <w:r>
              <w:fldChar w:fldCharType="end"/>
            </w:r>
          </w:hyperlink>
        </w:p>
        <w:p>
          <w:pPr>
            <w:pStyle w:val="11"/>
            <w:ind w:left="360"/>
            <w:tabs>
              <w:tab w:val="right" w:leader="dot" w:pos="9026"/>
            </w:tabs>
            <w:spacing w:before="120" w:after="60"/>
          </w:pPr>
          <w:hyperlink w:anchor="_Toc100047" w:history="1">
            <w:r>
              <w:rPr>
                <w:rStyle w:val="Hyperlink"/>
              </w:rPr>
              <w:t>5.3 Deposit Monitoring</w:t>
            </w:r>
            <w:r>
              <w:tab/>
            </w:r>
            <w:r>
              <w:fldChar w:fldCharType="begin"/>
            </w:r>
            <w:r>
              <w:instrText xml:space="preserve"> PAGEREF _Toc100047 \h </w:instrText>
            </w:r>
            <w:r>
              <w:fldChar w:fldCharType="separate"/>
            </w:r>
            <w:r>
              <w:t>18</w:t>
            </w:r>
            <w:r>
              <w:fldChar w:fldCharType="end"/>
            </w:r>
          </w:hyperlink>
        </w:p>
        <w:p>
          <w:pPr>
            <w:pStyle w:val="11"/>
            <w:ind w:left="360"/>
            <w:tabs>
              <w:tab w:val="right" w:leader="dot" w:pos="9026"/>
            </w:tabs>
            <w:spacing w:before="120" w:after="60"/>
          </w:pPr>
          <w:hyperlink w:anchor="_Toc100048" w:history="1">
            <w:r>
              <w:rPr>
                <w:rStyle w:val="Hyperlink"/>
              </w:rPr>
              <w:t>5.4 Address Generation and Key Management</w:t>
            </w:r>
            <w:r>
              <w:tab/>
            </w:r>
            <w:r>
              <w:fldChar w:fldCharType="begin"/>
            </w:r>
            <w:r>
              <w:instrText xml:space="preserve"> PAGEREF _Toc100048 \h </w:instrText>
            </w:r>
            <w:r>
              <w:fldChar w:fldCharType="separate"/>
            </w:r>
            <w:r>
              <w:t>18</w:t>
            </w:r>
            <w:r>
              <w:fldChar w:fldCharType="end"/>
            </w:r>
          </w:hyperlink>
        </w:p>
        <w:p>
          <w:pPr>
            <w:pStyle w:val="9"/>
            <w:tabs>
              <w:tab w:val="right" w:leader="dot" w:pos="9026"/>
            </w:tabs>
            <w:spacing w:before="120" w:after="60"/>
          </w:pPr>
          <w:hyperlink w:anchor="_Toc100049" w:history="1">
            <w:r>
              <w:rPr>
                <w:rStyle w:val="Hyperlink"/>
              </w:rPr>
              <w:t>Section 6: Wallet Security</w:t>
            </w:r>
            <w:r>
              <w:tab/>
            </w:r>
            <w:r>
              <w:fldChar w:fldCharType="begin"/>
            </w:r>
            <w:r>
              <w:instrText xml:space="preserve"> PAGEREF _Toc100049 \h </w:instrText>
            </w:r>
            <w:r>
              <w:fldChar w:fldCharType="separate"/>
            </w:r>
            <w:r>
              <w:t>18</w:t>
            </w:r>
            <w:r>
              <w:fldChar w:fldCharType="end"/>
            </w:r>
          </w:hyperlink>
        </w:p>
        <w:p>
          <w:pPr>
            <w:pStyle w:val="11"/>
            <w:ind w:left="360"/>
            <w:tabs>
              <w:tab w:val="right" w:leader="dot" w:pos="9026"/>
            </w:tabs>
            <w:spacing w:before="120" w:after="60"/>
          </w:pPr>
          <w:hyperlink w:anchor="_Toc100050" w:history="1">
            <w:r>
              <w:rPr>
                <w:rStyle w:val="Hyperlink"/>
              </w:rPr>
              <w:t>6.1 Hot Wallet Architecture</w:t>
            </w:r>
            <w:r>
              <w:tab/>
            </w:r>
            <w:r>
              <w:fldChar w:fldCharType="begin"/>
            </w:r>
            <w:r>
              <w:instrText xml:space="preserve"> PAGEREF _Toc100050 \h </w:instrText>
            </w:r>
            <w:r>
              <w:fldChar w:fldCharType="separate"/>
            </w:r>
            <w:r>
              <w:t>19</w:t>
            </w:r>
            <w:r>
              <w:fldChar w:fldCharType="end"/>
            </w:r>
          </w:hyperlink>
        </w:p>
        <w:p>
          <w:pPr>
            <w:pStyle w:val="11"/>
            <w:ind w:left="360"/>
            <w:tabs>
              <w:tab w:val="right" w:leader="dot" w:pos="9026"/>
            </w:tabs>
            <w:spacing w:before="120" w:after="60"/>
          </w:pPr>
          <w:hyperlink w:anchor="_Toc100051" w:history="1">
            <w:r>
              <w:rPr>
                <w:rStyle w:val="Hyperlink"/>
              </w:rPr>
              <w:t>6.2 Warm Wallet Architecture</w:t>
            </w:r>
            <w:r>
              <w:tab/>
            </w:r>
            <w:r>
              <w:fldChar w:fldCharType="begin"/>
            </w:r>
            <w:r>
              <w:instrText xml:space="preserve"> PAGEREF _Toc100051 \h </w:instrText>
            </w:r>
            <w:r>
              <w:fldChar w:fldCharType="separate"/>
            </w:r>
            <w:r>
              <w:t>19</w:t>
            </w:r>
            <w:r>
              <w:fldChar w:fldCharType="end"/>
            </w:r>
          </w:hyperlink>
        </w:p>
        <w:p>
          <w:pPr>
            <w:pStyle w:val="11"/>
            <w:ind w:left="360"/>
            <w:tabs>
              <w:tab w:val="right" w:leader="dot" w:pos="9026"/>
            </w:tabs>
            <w:spacing w:before="120" w:after="60"/>
          </w:pPr>
          <w:hyperlink w:anchor="_Toc100052" w:history="1">
            <w:r>
              <w:rPr>
                <w:rStyle w:val="Hyperlink"/>
              </w:rPr>
              <w:t>6.3 Cold Wallet Architecture</w:t>
            </w:r>
            <w:r>
              <w:tab/>
            </w:r>
            <w:r>
              <w:fldChar w:fldCharType="begin"/>
            </w:r>
            <w:r>
              <w:instrText xml:space="preserve"> PAGEREF _Toc100052 \h </w:instrText>
            </w:r>
            <w:r>
              <w:fldChar w:fldCharType="separate"/>
            </w:r>
            <w:r>
              <w:t>19</w:t>
            </w:r>
            <w:r>
              <w:fldChar w:fldCharType="end"/>
            </w:r>
          </w:hyperlink>
        </w:p>
        <w:p>
          <w:pPr>
            <w:pStyle w:val="11"/>
            <w:ind w:left="360"/>
            <w:tabs>
              <w:tab w:val="right" w:leader="dot" w:pos="9026"/>
            </w:tabs>
            <w:spacing w:before="120" w:after="60"/>
          </w:pPr>
          <w:hyperlink w:anchor="_Toc100053" w:history="1">
            <w:r>
              <w:rPr>
                <w:rStyle w:val="Hyperlink"/>
              </w:rPr>
              <w:t>6.4 HSM Integration and MPC Wallets</w:t>
            </w:r>
            <w:r>
              <w:tab/>
            </w:r>
            <w:r>
              <w:fldChar w:fldCharType="begin"/>
            </w:r>
            <w:r>
              <w:instrText xml:space="preserve"> PAGEREF _Toc100053 \h </w:instrText>
            </w:r>
            <w:r>
              <w:fldChar w:fldCharType="separate"/>
            </w:r>
            <w:r>
              <w:t>20</w:t>
            </w:r>
            <w:r>
              <w:fldChar w:fldCharType="end"/>
            </w:r>
          </w:hyperlink>
        </w:p>
        <w:p>
          <w:pPr>
            <w:pStyle w:val="11"/>
            <w:ind w:left="360"/>
            <w:tabs>
              <w:tab w:val="right" w:leader="dot" w:pos="9026"/>
            </w:tabs>
            <w:spacing w:before="120" w:after="60"/>
          </w:pPr>
          <w:hyperlink w:anchor="_Toc100054" w:history="1">
            <w:r>
              <w:rPr>
                <w:rStyle w:val="Hyperlink"/>
              </w:rPr>
              <w:t>6.5 Withdrawal Approval Workflow</w:t>
            </w:r>
            <w:r>
              <w:tab/>
            </w:r>
            <w:r>
              <w:fldChar w:fldCharType="begin"/>
            </w:r>
            <w:r>
              <w:instrText xml:space="preserve"> PAGEREF _Toc100054 \h </w:instrText>
            </w:r>
            <w:r>
              <w:fldChar w:fldCharType="separate"/>
            </w:r>
            <w:r>
              <w:t>20</w:t>
            </w:r>
            <w:r>
              <w:fldChar w:fldCharType="end"/>
            </w:r>
          </w:hyperlink>
        </w:p>
        <w:p>
          <w:pPr>
            <w:pStyle w:val="9"/>
            <w:tabs>
              <w:tab w:val="right" w:leader="dot" w:pos="9026"/>
            </w:tabs>
            <w:spacing w:before="120" w:after="60"/>
          </w:pPr>
          <w:hyperlink w:anchor="_Toc100055" w:history="1">
            <w:r>
              <w:rPr>
                <w:rStyle w:val="Hyperlink"/>
              </w:rPr>
              <w:t>Section 7: Risk Management Engine</w:t>
            </w:r>
            <w:r>
              <w:tab/>
            </w:r>
            <w:r>
              <w:fldChar w:fldCharType="begin"/>
            </w:r>
            <w:r>
              <w:instrText xml:space="preserve"> PAGEREF _Toc100055 \h </w:instrText>
            </w:r>
            <w:r>
              <w:fldChar w:fldCharType="separate"/>
            </w:r>
            <w:r>
              <w:t>20</w:t>
            </w:r>
            <w:r>
              <w:fldChar w:fldCharType="end"/>
            </w:r>
          </w:hyperlink>
        </w:p>
        <w:p>
          <w:pPr>
            <w:pStyle w:val="11"/>
            <w:ind w:left="360"/>
            <w:tabs>
              <w:tab w:val="right" w:leader="dot" w:pos="9026"/>
            </w:tabs>
            <w:spacing w:before="120" w:after="60"/>
          </w:pPr>
          <w:hyperlink w:anchor="_Toc100056" w:history="1">
            <w:r>
              <w:rPr>
                <w:rStyle w:val="Hyperlink"/>
              </w:rPr>
              <w:t>7.1 Position Monitoring</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7.2 Liquidation Logic</w:t>
            </w:r>
            <w:r>
              <w:tab/>
            </w:r>
            <w:r>
              <w:fldChar w:fldCharType="begin"/>
            </w:r>
            <w:r>
              <w:instrText xml:space="preserve"> PAGEREF _Toc100057 \h </w:instrText>
            </w:r>
            <w:r>
              <w:fldChar w:fldCharType="separate"/>
            </w:r>
            <w:r>
              <w:t>21</w:t>
            </w:r>
            <w:r>
              <w:fldChar w:fldCharType="end"/>
            </w:r>
          </w:hyperlink>
        </w:p>
        <w:p>
          <w:pPr>
            <w:pStyle w:val="11"/>
            <w:ind w:left="360"/>
            <w:tabs>
              <w:tab w:val="right" w:leader="dot" w:pos="9026"/>
            </w:tabs>
            <w:spacing w:before="120" w:after="60"/>
          </w:pPr>
          <w:hyperlink w:anchor="_Toc100058" w:history="1">
            <w:r>
              <w:rPr>
                <w:rStyle w:val="Hyperlink"/>
              </w:rPr>
              <w:t>7.3 Insurance Fund</w:t>
            </w:r>
            <w:r>
              <w:tab/>
            </w:r>
            <w:r>
              <w:fldChar w:fldCharType="begin"/>
            </w:r>
            <w:r>
              <w:instrText xml:space="preserve"> PAGEREF _Toc100058 \h </w:instrText>
            </w:r>
            <w:r>
              <w:fldChar w:fldCharType="separate"/>
            </w:r>
            <w:r>
              <w:t>21</w:t>
            </w:r>
            <w:r>
              <w:fldChar w:fldCharType="end"/>
            </w:r>
          </w:hyperlink>
        </w:p>
        <w:p>
          <w:pPr>
            <w:pStyle w:val="11"/>
            <w:ind w:left="360"/>
            <w:tabs>
              <w:tab w:val="right" w:leader="dot" w:pos="9026"/>
            </w:tabs>
            <w:spacing w:before="120" w:after="60"/>
          </w:pPr>
          <w:hyperlink w:anchor="_Toc100059" w:history="1">
            <w:r>
              <w:rPr>
                <w:rStyle w:val="Hyperlink"/>
              </w:rPr>
              <w:t>7.4 Fraud Detection and Market Surveillance</w:t>
            </w:r>
            <w:r>
              <w:tab/>
            </w:r>
            <w:r>
              <w:fldChar w:fldCharType="begin"/>
            </w:r>
            <w:r>
              <w:instrText xml:space="preserve"> PAGEREF _Toc100059 \h </w:instrText>
            </w:r>
            <w:r>
              <w:fldChar w:fldCharType="separate"/>
            </w:r>
            <w:r>
              <w:t>22</w:t>
            </w:r>
            <w:r>
              <w:fldChar w:fldCharType="end"/>
            </w:r>
          </w:hyperlink>
        </w:p>
        <w:p>
          <w:pPr>
            <w:pStyle w:val="9"/>
            <w:tabs>
              <w:tab w:val="right" w:leader="dot" w:pos="9026"/>
            </w:tabs>
            <w:spacing w:before="120" w:after="60"/>
          </w:pPr>
          <w:hyperlink w:anchor="_Toc100060" w:history="1">
            <w:r>
              <w:rPr>
                <w:rStyle w:val="Hyperlink"/>
              </w:rPr>
              <w:t>Section 8: Compliance</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8.1 KYC (Know Your Customer)</w:t>
            </w:r>
            <w:r>
              <w:tab/>
            </w:r>
            <w:r>
              <w:fldChar w:fldCharType="begin"/>
            </w:r>
            <w:r>
              <w:instrText xml:space="preserve"> PAGEREF _Toc100061 \h </w:instrText>
            </w:r>
            <w:r>
              <w:fldChar w:fldCharType="separate"/>
            </w:r>
            <w:r>
              <w:t>22</w:t>
            </w:r>
            <w:r>
              <w:fldChar w:fldCharType="end"/>
            </w:r>
          </w:hyperlink>
        </w:p>
        <w:p>
          <w:pPr>
            <w:pStyle w:val="11"/>
            <w:ind w:left="360"/>
            <w:tabs>
              <w:tab w:val="right" w:leader="dot" w:pos="9026"/>
            </w:tabs>
            <w:spacing w:before="120" w:after="60"/>
          </w:pPr>
          <w:hyperlink w:anchor="_Toc100062" w:history="1">
            <w:r>
              <w:rPr>
                <w:rStyle w:val="Hyperlink"/>
              </w:rPr>
              <w:t>8.2 AML (Anti-Money Laundering)</w:t>
            </w:r>
            <w:r>
              <w:tab/>
            </w:r>
            <w:r>
              <w:fldChar w:fldCharType="begin"/>
            </w:r>
            <w:r>
              <w:instrText xml:space="preserve"> PAGEREF _Toc100062 \h </w:instrText>
            </w:r>
            <w:r>
              <w:fldChar w:fldCharType="separate"/>
            </w:r>
            <w:r>
              <w:t>22</w:t>
            </w:r>
            <w:r>
              <w:fldChar w:fldCharType="end"/>
            </w:r>
          </w:hyperlink>
        </w:p>
        <w:p>
          <w:pPr>
            <w:pStyle w:val="11"/>
            <w:ind w:left="360"/>
            <w:tabs>
              <w:tab w:val="right" w:leader="dot" w:pos="9026"/>
            </w:tabs>
            <w:spacing w:before="120" w:after="60"/>
          </w:pPr>
          <w:hyperlink w:anchor="_Toc100063" w:history="1">
            <w:r>
              <w:rPr>
                <w:rStyle w:val="Hyperlink"/>
              </w:rPr>
              <w:t>8.3 Regulatory Framework by Region</w:t>
            </w:r>
            <w:r>
              <w:tab/>
            </w:r>
            <w:r>
              <w:fldChar w:fldCharType="begin"/>
            </w:r>
            <w:r>
              <w:instrText xml:space="preserve"> PAGEREF _Toc100063 \h </w:instrText>
            </w:r>
            <w:r>
              <w:fldChar w:fldCharType="separate"/>
            </w:r>
            <w:r>
              <w:t>23</w:t>
            </w:r>
            <w:r>
              <w:fldChar w:fldCharType="end"/>
            </w:r>
          </w:hyperlink>
        </w:p>
        <w:p>
          <w:pPr>
            <w:pStyle w:val="11"/>
            <w:ind w:left="360"/>
            <w:tabs>
              <w:tab w:val="right" w:leader="dot" w:pos="9026"/>
            </w:tabs>
            <w:spacing w:before="120" w:after="60"/>
          </w:pPr>
          <w:hyperlink w:anchor="_Toc100064" w:history="1">
            <w:r>
              <w:rPr>
                <w:rStyle w:val="Hyperlink"/>
              </w:rPr>
              <w:t>8.4 GDPR and Data Protection</w:t>
            </w:r>
            <w:r>
              <w:tab/>
            </w:r>
            <w:r>
              <w:fldChar w:fldCharType="begin"/>
            </w:r>
            <w:r>
              <w:instrText xml:space="preserve"> PAGEREF _Toc100064 \h </w:instrText>
            </w:r>
            <w:r>
              <w:fldChar w:fldCharType="separate"/>
            </w:r>
            <w:r>
              <w:t>23</w:t>
            </w:r>
            <w:r>
              <w:fldChar w:fldCharType="end"/>
            </w:r>
          </w:hyperlink>
        </w:p>
        <w:p>
          <w:pPr>
            <w:pStyle w:val="9"/>
            <w:tabs>
              <w:tab w:val="right" w:leader="dot" w:pos="9026"/>
            </w:tabs>
            <w:spacing w:before="120" w:after="60"/>
          </w:pPr>
          <w:hyperlink w:anchor="_Toc100065" w:history="1">
            <w:r>
              <w:rPr>
                <w:rStyle w:val="Hyperlink"/>
              </w:rPr>
              <w:t>Section 9: Security Architecture</w:t>
            </w:r>
            <w:r>
              <w:tab/>
            </w:r>
            <w:r>
              <w:fldChar w:fldCharType="begin"/>
            </w:r>
            <w:r>
              <w:instrText xml:space="preserve"> PAGEREF _Toc100065 \h </w:instrText>
            </w:r>
            <w:r>
              <w:fldChar w:fldCharType="separate"/>
            </w:r>
            <w:r>
              <w:t>24</w:t>
            </w:r>
            <w:r>
              <w:fldChar w:fldCharType="end"/>
            </w:r>
          </w:hyperlink>
        </w:p>
        <w:p>
          <w:pPr>
            <w:pStyle w:val="11"/>
            <w:ind w:left="360"/>
            <w:tabs>
              <w:tab w:val="right" w:leader="dot" w:pos="9026"/>
            </w:tabs>
            <w:spacing w:before="120" w:after="60"/>
          </w:pPr>
          <w:hyperlink w:anchor="_Toc100066" w:history="1">
            <w:r>
              <w:rPr>
                <w:rStyle w:val="Hyperlink"/>
              </w:rPr>
              <w:t>9.1 Zero Trust Architecture</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9.2 Access Control: RBAC and ABAC</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9.3 Threat Model</w:t>
            </w:r>
            <w:r>
              <w:tab/>
            </w:r>
            <w:r>
              <w:fldChar w:fldCharType="begin"/>
            </w:r>
            <w:r>
              <w:instrText xml:space="preserve"> PAGEREF _Toc100068 \h </w:instrText>
            </w:r>
            <w:r>
              <w:fldChar w:fldCharType="separate"/>
            </w:r>
            <w:r>
              <w:t>25</w:t>
            </w:r>
            <w:r>
              <w:fldChar w:fldCharType="end"/>
            </w:r>
          </w:hyperlink>
        </w:p>
        <w:p>
          <w:pPr>
            <w:pStyle w:val="11"/>
            <w:ind w:left="360"/>
            <w:tabs>
              <w:tab w:val="right" w:leader="dot" w:pos="9026"/>
            </w:tabs>
            <w:spacing w:before="120" w:after="60"/>
          </w:pPr>
          <w:hyperlink w:anchor="_Toc100069" w:history="1">
            <w:r>
              <w:rPr>
                <w:rStyle w:val="Hyperlink"/>
              </w:rPr>
              <w:t>9.4 Encryption and Key Management</w:t>
            </w:r>
            <w:r>
              <w:tab/>
            </w:r>
            <w:r>
              <w:fldChar w:fldCharType="begin"/>
            </w:r>
            <w:r>
              <w:instrText xml:space="preserve"> PAGEREF _Toc100069 \h </w:instrText>
            </w:r>
            <w:r>
              <w:fldChar w:fldCharType="separate"/>
            </w:r>
            <w:r>
              <w:t>25</w:t>
            </w:r>
            <w:r>
              <w:fldChar w:fldCharType="end"/>
            </w:r>
          </w:hyperlink>
        </w:p>
        <w:p>
          <w:pPr>
            <w:pStyle w:val="9"/>
            <w:tabs>
              <w:tab w:val="right" w:leader="dot" w:pos="9026"/>
            </w:tabs>
            <w:spacing w:before="120" w:after="60"/>
          </w:pPr>
          <w:hyperlink w:anchor="_Toc100070" w:history="1">
            <w:r>
              <w:rPr>
                <w:rStyle w:val="Hyperlink"/>
              </w:rPr>
              <w:t>Section 10: Database Design</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10.1 Database Technology Stack</w:t>
            </w:r>
            <w:r>
              <w:tab/>
            </w:r>
            <w:r>
              <w:fldChar w:fldCharType="begin"/>
            </w:r>
            <w:r>
              <w:instrText xml:space="preserve"> PAGEREF _Toc100071 \h </w:instrText>
            </w:r>
            <w:r>
              <w:fldChar w:fldCharType="separate"/>
            </w:r>
            <w:r>
              <w:t>25</w:t>
            </w:r>
            <w:r>
              <w:fldChar w:fldCharType="end"/>
            </w:r>
          </w:hyperlink>
        </w:p>
        <w:p>
          <w:pPr>
            <w:pStyle w:val="11"/>
            <w:ind w:left="360"/>
            <w:tabs>
              <w:tab w:val="right" w:leader="dot" w:pos="9026"/>
            </w:tabs>
            <w:spacing w:before="120" w:after="60"/>
          </w:pPr>
          <w:hyperlink w:anchor="_Toc100072" w:history="1">
            <w:r>
              <w:rPr>
                <w:rStyle w:val="Hyperlink"/>
              </w:rPr>
              <w:t>10.2 Core Schema: Users</w:t>
            </w:r>
            <w:r>
              <w:tab/>
            </w:r>
            <w:r>
              <w:fldChar w:fldCharType="begin"/>
            </w:r>
            <w:r>
              <w:instrText xml:space="preserve"> PAGEREF _Toc100072 \h </w:instrText>
            </w:r>
            <w:r>
              <w:fldChar w:fldCharType="separate"/>
            </w:r>
            <w:r>
              <w:t>26</w:t>
            </w:r>
            <w:r>
              <w:fldChar w:fldCharType="end"/>
            </w:r>
          </w:hyperlink>
        </w:p>
        <w:p>
          <w:pPr>
            <w:pStyle w:val="11"/>
            <w:ind w:left="360"/>
            <w:tabs>
              <w:tab w:val="right" w:leader="dot" w:pos="9026"/>
            </w:tabs>
            <w:spacing w:before="120" w:after="60"/>
          </w:pPr>
          <w:hyperlink w:anchor="_Toc100073" w:history="1">
            <w:r>
              <w:rPr>
                <w:rStyle w:val="Hyperlink"/>
              </w:rPr>
              <w:t>10.3 Core Schema: Trading</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10.4 Indexing and Partitioning</w:t>
            </w:r>
            <w:r>
              <w:tab/>
            </w:r>
            <w:r>
              <w:fldChar w:fldCharType="begin"/>
            </w:r>
            <w:r>
              <w:instrText xml:space="preserve"> PAGEREF _Toc100074 \h </w:instrText>
            </w:r>
            <w:r>
              <w:fldChar w:fldCharType="separate"/>
            </w:r>
            <w:r>
              <w:t>27</w:t>
            </w:r>
            <w:r>
              <w:fldChar w:fldCharType="end"/>
            </w:r>
          </w:hyperlink>
        </w:p>
        <w:p>
          <w:pPr>
            <w:pStyle w:val="9"/>
            <w:tabs>
              <w:tab w:val="right" w:leader="dot" w:pos="9026"/>
            </w:tabs>
            <w:spacing w:before="120" w:after="60"/>
          </w:pPr>
          <w:hyperlink w:anchor="_Toc100075" w:history="1">
            <w:r>
              <w:rPr>
                <w:rStyle w:val="Hyperlink"/>
              </w:rPr>
              <w:t>Section 11: Infrastructure</w:t>
            </w:r>
            <w:r>
              <w:tab/>
            </w:r>
            <w:r>
              <w:fldChar w:fldCharType="begin"/>
            </w:r>
            <w:r>
              <w:instrText xml:space="preserve"> PAGEREF _Toc100075 \h </w:instrText>
            </w:r>
            <w:r>
              <w:fldChar w:fldCharType="separate"/>
            </w:r>
            <w:r>
              <w:t>27</w:t>
            </w:r>
            <w:r>
              <w:fldChar w:fldCharType="end"/>
            </w:r>
          </w:hyperlink>
        </w:p>
        <w:p>
          <w:pPr>
            <w:pStyle w:val="11"/>
            <w:ind w:left="360"/>
            <w:tabs>
              <w:tab w:val="right" w:leader="dot" w:pos="9026"/>
            </w:tabs>
            <w:spacing w:before="120" w:after="60"/>
          </w:pPr>
          <w:hyperlink w:anchor="_Toc100076" w:history="1">
            <w:r>
              <w:rPr>
                <w:rStyle w:val="Hyperlink"/>
              </w:rPr>
              <w:t>11.1 Multi-Cloud Deployment Strategy</w:t>
            </w:r>
            <w:r>
              <w:tab/>
            </w:r>
            <w:r>
              <w:fldChar w:fldCharType="begin"/>
            </w:r>
            <w:r>
              <w:instrText xml:space="preserve"> PAGEREF _Toc100076 \h </w:instrText>
            </w:r>
            <w:r>
              <w:fldChar w:fldCharType="separate"/>
            </w:r>
            <w:r>
              <w:t>27</w:t>
            </w:r>
            <w:r>
              <w:fldChar w:fldCharType="end"/>
            </w:r>
          </w:hyperlink>
        </w:p>
        <w:p>
          <w:pPr>
            <w:pStyle w:val="11"/>
            <w:ind w:left="360"/>
            <w:tabs>
              <w:tab w:val="right" w:leader="dot" w:pos="9026"/>
            </w:tabs>
            <w:spacing w:before="120" w:after="60"/>
          </w:pPr>
          <w:hyperlink w:anchor="_Toc100077" w:history="1">
            <w:r>
              <w:rPr>
                <w:rStyle w:val="Hyperlink"/>
              </w:rPr>
              <w:t>11.2 Kubernetes Architecture</w:t>
            </w:r>
            <w:r>
              <w:tab/>
            </w:r>
            <w:r>
              <w:fldChar w:fldCharType="begin"/>
            </w:r>
            <w:r>
              <w:instrText xml:space="preserve"> PAGEREF _Toc100077 \h </w:instrText>
            </w:r>
            <w:r>
              <w:fldChar w:fldCharType="separate"/>
            </w:r>
            <w:r>
              <w:t>27</w:t>
            </w:r>
            <w:r>
              <w:fldChar w:fldCharType="end"/>
            </w:r>
          </w:hyperlink>
        </w:p>
        <w:p>
          <w:pPr>
            <w:pStyle w:val="11"/>
            <w:ind w:left="360"/>
            <w:tabs>
              <w:tab w:val="right" w:leader="dot" w:pos="9026"/>
            </w:tabs>
            <w:spacing w:before="120" w:after="60"/>
          </w:pPr>
          <w:hyperlink w:anchor="_Toc100078" w:history="1">
            <w:r>
              <w:rPr>
                <w:rStyle w:val="Hyperlink"/>
              </w:rPr>
              <w:t>11.3 Service Mesh</w:t>
            </w:r>
            <w:r>
              <w:tab/>
            </w:r>
            <w:r>
              <w:fldChar w:fldCharType="begin"/>
            </w:r>
            <w:r>
              <w:instrText xml:space="preserve"> PAGEREF _Toc100078 \h </w:instrText>
            </w:r>
            <w:r>
              <w:fldChar w:fldCharType="separate"/>
            </w:r>
            <w:r>
              <w:t>28</w:t>
            </w:r>
            <w:r>
              <w:fldChar w:fldCharType="end"/>
            </w:r>
          </w:hyperlink>
        </w:p>
        <w:p>
          <w:pPr>
            <w:pStyle w:val="9"/>
            <w:tabs>
              <w:tab w:val="right" w:leader="dot" w:pos="9026"/>
            </w:tabs>
            <w:spacing w:before="120" w:after="60"/>
          </w:pPr>
          <w:hyperlink w:anchor="_Toc100079" w:history="1">
            <w:r>
              <w:rPr>
                <w:rStyle w:val="Hyperlink"/>
              </w:rPr>
              <w:t>Section 12: DevOps</w:t>
            </w:r>
            <w:r>
              <w:tab/>
            </w:r>
            <w:r>
              <w:fldChar w:fldCharType="begin"/>
            </w:r>
            <w:r>
              <w:instrText xml:space="preserve"> PAGEREF _Toc100079 \h </w:instrText>
            </w:r>
            <w:r>
              <w:fldChar w:fldCharType="separate"/>
            </w:r>
            <w:r>
              <w:t>28</w:t>
            </w:r>
            <w:r>
              <w:fldChar w:fldCharType="end"/>
            </w:r>
          </w:hyperlink>
        </w:p>
        <w:p>
          <w:pPr>
            <w:pStyle w:val="11"/>
            <w:ind w:left="360"/>
            <w:tabs>
              <w:tab w:val="right" w:leader="dot" w:pos="9026"/>
            </w:tabs>
            <w:spacing w:before="120" w:after="60"/>
          </w:pPr>
          <w:hyperlink w:anchor="_Toc100080" w:history="1">
            <w:r>
              <w:rPr>
                <w:rStyle w:val="Hyperlink"/>
              </w:rPr>
              <w:t>12.1 CI/CD Pipeline</w:t>
            </w:r>
            <w:r>
              <w:tab/>
            </w:r>
            <w:r>
              <w:fldChar w:fldCharType="begin"/>
            </w:r>
            <w:r>
              <w:instrText xml:space="preserve"> PAGEREF _Toc100080 \h </w:instrText>
            </w:r>
            <w:r>
              <w:fldChar w:fldCharType="separate"/>
            </w:r>
            <w:r>
              <w:t>28</w:t>
            </w:r>
            <w:r>
              <w:fldChar w:fldCharType="end"/>
            </w:r>
          </w:hyperlink>
        </w:p>
        <w:p>
          <w:pPr>
            <w:pStyle w:val="11"/>
            <w:ind w:left="360"/>
            <w:tabs>
              <w:tab w:val="right" w:leader="dot" w:pos="9026"/>
            </w:tabs>
            <w:spacing w:before="120" w:after="60"/>
          </w:pPr>
          <w:hyperlink w:anchor="_Toc100081" w:history="1">
            <w:r>
              <w:rPr>
                <w:rStyle w:val="Hyperlink"/>
              </w:rPr>
              <w:t>12.2 Git Strategy</w:t>
            </w:r>
            <w:r>
              <w:tab/>
            </w:r>
            <w:r>
              <w:fldChar w:fldCharType="begin"/>
            </w:r>
            <w:r>
              <w:instrText xml:space="preserve"> PAGEREF _Toc100081 \h </w:instrText>
            </w:r>
            <w:r>
              <w:fldChar w:fldCharType="separate"/>
            </w:r>
            <w:r>
              <w:t>29</w:t>
            </w:r>
            <w:r>
              <w:fldChar w:fldCharType="end"/>
            </w:r>
          </w:hyperlink>
        </w:p>
        <w:p>
          <w:pPr>
            <w:pStyle w:val="11"/>
            <w:ind w:left="360"/>
            <w:tabs>
              <w:tab w:val="right" w:leader="dot" w:pos="9026"/>
            </w:tabs>
            <w:spacing w:before="120" w:after="60"/>
          </w:pPr>
          <w:hyperlink w:anchor="_Toc100082" w:history="1">
            <w:r>
              <w:rPr>
                <w:rStyle w:val="Hyperlink"/>
              </w:rPr>
              <w:t>12.3 Monitoring, Logging, and Alerting</w:t>
            </w:r>
            <w:r>
              <w:tab/>
            </w:r>
            <w:r>
              <w:fldChar w:fldCharType="begin"/>
            </w:r>
            <w:r>
              <w:instrText xml:space="preserve"> PAGEREF _Toc100082 \h </w:instrText>
            </w:r>
            <w:r>
              <w:fldChar w:fldCharType="separate"/>
            </w:r>
            <w:r>
              <w:t>29</w:t>
            </w:r>
            <w:r>
              <w:fldChar w:fldCharType="end"/>
            </w:r>
          </w:hyperlink>
        </w:p>
        <w:p>
          <w:pPr>
            <w:pStyle w:val="11"/>
            <w:ind w:left="360"/>
            <w:tabs>
              <w:tab w:val="right" w:leader="dot" w:pos="9026"/>
            </w:tabs>
            <w:spacing w:before="120" w:after="60"/>
          </w:pPr>
          <w:hyperlink w:anchor="_Toc100083" w:history="1">
            <w:r>
              <w:rPr>
                <w:rStyle w:val="Hyperlink"/>
              </w:rPr>
              <w:t>12.4 Disaster Recovery</w:t>
            </w:r>
            <w:r>
              <w:tab/>
            </w:r>
            <w:r>
              <w:fldChar w:fldCharType="begin"/>
            </w:r>
            <w:r>
              <w:instrText xml:space="preserve"> PAGEREF _Toc100083 \h </w:instrText>
            </w:r>
            <w:r>
              <w:fldChar w:fldCharType="separate"/>
            </w:r>
            <w:r>
              <w:t>29</w:t>
            </w:r>
            <w:r>
              <w:fldChar w:fldCharType="end"/>
            </w:r>
          </w:hyperlink>
        </w:p>
        <w:p>
          <w:pPr>
            <w:pStyle w:val="9"/>
            <w:tabs>
              <w:tab w:val="right" w:leader="dot" w:pos="9026"/>
            </w:tabs>
            <w:spacing w:before="120" w:after="60"/>
          </w:pPr>
          <w:hyperlink w:anchor="_Toc100084" w:history="1">
            <w:r>
              <w:rPr>
                <w:rStyle w:val="Hyperlink"/>
              </w:rPr>
              <w:t>Section 13: Scalability</w:t>
            </w:r>
            <w:r>
              <w:tab/>
            </w:r>
            <w:r>
              <w:fldChar w:fldCharType="begin"/>
            </w:r>
            <w:r>
              <w:instrText xml:space="preserve"> PAGEREF _Toc100084 \h </w:instrText>
            </w:r>
            <w:r>
              <w:fldChar w:fldCharType="separate"/>
            </w:r>
            <w:r>
              <w:t>30</w:t>
            </w:r>
            <w:r>
              <w:fldChar w:fldCharType="end"/>
            </w:r>
          </w:hyperlink>
        </w:p>
        <w:p>
          <w:pPr>
            <w:pStyle w:val="11"/>
            <w:ind w:left="360"/>
            <w:tabs>
              <w:tab w:val="right" w:leader="dot" w:pos="9026"/>
            </w:tabs>
            <w:spacing w:before="120" w:after="60"/>
          </w:pPr>
          <w:hyperlink w:anchor="_Toc100085" w:history="1">
            <w:r>
              <w:rPr>
                <w:rStyle w:val="Hyperlink"/>
              </w:rPr>
              <w:t>13.1 Scaling Targets</w:t>
            </w:r>
            <w:r>
              <w:tab/>
            </w:r>
            <w:r>
              <w:fldChar w:fldCharType="begin"/>
            </w:r>
            <w:r>
              <w:instrText xml:space="preserve"> PAGEREF _Toc100085 \h </w:instrText>
            </w:r>
            <w:r>
              <w:fldChar w:fldCharType="separate"/>
            </w:r>
            <w:r>
              <w:t>30</w:t>
            </w:r>
            <w:r>
              <w:fldChar w:fldCharType="end"/>
            </w:r>
          </w:hyperlink>
        </w:p>
        <w:p>
          <w:pPr>
            <w:pStyle w:val="11"/>
            <w:ind w:left="360"/>
            <w:tabs>
              <w:tab w:val="right" w:leader="dot" w:pos="9026"/>
            </w:tabs>
            <w:spacing w:before="120" w:after="60"/>
          </w:pPr>
          <w:hyperlink w:anchor="_Toc100086" w:history="1">
            <w:r>
              <w:rPr>
                <w:rStyle w:val="Hyperlink"/>
              </w:rPr>
              <w:t>13.2 Horizontal Scaling Strategy</w:t>
            </w:r>
            <w:r>
              <w:tab/>
            </w:r>
            <w:r>
              <w:fldChar w:fldCharType="begin"/>
            </w:r>
            <w:r>
              <w:instrText xml:space="preserve"> PAGEREF _Toc100086 \h </w:instrText>
            </w:r>
            <w:r>
              <w:fldChar w:fldCharType="separate"/>
            </w:r>
            <w:r>
              <w:t>30</w:t>
            </w:r>
            <w:r>
              <w:fldChar w:fldCharType="end"/>
            </w:r>
          </w:hyperlink>
        </w:p>
        <w:p>
          <w:pPr>
            <w:pStyle w:val="11"/>
            <w:ind w:left="360"/>
            <w:tabs>
              <w:tab w:val="right" w:leader="dot" w:pos="9026"/>
            </w:tabs>
            <w:spacing w:before="120" w:after="60"/>
          </w:pPr>
          <w:hyperlink w:anchor="_Toc100087" w:history="1">
            <w:r>
              <w:rPr>
                <w:rStyle w:val="Hyperlink"/>
              </w:rPr>
              <w:t>13.3 Caching Strategy</w:t>
            </w:r>
            <w:r>
              <w:tab/>
            </w:r>
            <w:r>
              <w:fldChar w:fldCharType="begin"/>
            </w:r>
            <w:r>
              <w:instrText xml:space="preserve"> PAGEREF _Toc100087 \h </w:instrText>
            </w:r>
            <w:r>
              <w:fldChar w:fldCharType="separate"/>
            </w:r>
            <w:r>
              <w:t>30</w:t>
            </w:r>
            <w:r>
              <w:fldChar w:fldCharType="end"/>
            </w:r>
          </w:hyperlink>
        </w:p>
        <w:p>
          <w:pPr>
            <w:pStyle w:val="9"/>
            <w:tabs>
              <w:tab w:val="right" w:leader="dot" w:pos="9026"/>
            </w:tabs>
            <w:spacing w:before="120" w:after="60"/>
          </w:pPr>
          <w:hyperlink w:anchor="_Toc100088" w:history="1">
            <w:r>
              <w:rPr>
                <w:rStyle w:val="Hyperlink"/>
              </w:rPr>
              <w:t>Section 14: APIs</w:t>
            </w:r>
            <w:r>
              <w:tab/>
            </w:r>
            <w:r>
              <w:fldChar w:fldCharType="begin"/>
            </w:r>
            <w:r>
              <w:instrText xml:space="preserve"> PAGEREF _Toc100088 \h </w:instrText>
            </w:r>
            <w:r>
              <w:fldChar w:fldCharType="separate"/>
            </w:r>
            <w:r>
              <w:t>31</w:t>
            </w:r>
            <w:r>
              <w:fldChar w:fldCharType="end"/>
            </w:r>
          </w:hyperlink>
        </w:p>
        <w:p>
          <w:pPr>
            <w:pStyle w:val="11"/>
            <w:ind w:left="360"/>
            <w:tabs>
              <w:tab w:val="right" w:leader="dot" w:pos="9026"/>
            </w:tabs>
            <w:spacing w:before="120" w:after="60"/>
          </w:pPr>
          <w:hyperlink w:anchor="_Toc100089" w:history="1">
            <w:r>
              <w:rPr>
                <w:rStyle w:val="Hyperlink"/>
              </w:rPr>
              <w:t>14.1 REST API Overview</w:t>
            </w:r>
            <w:r>
              <w:tab/>
            </w:r>
            <w:r>
              <w:fldChar w:fldCharType="begin"/>
            </w:r>
            <w:r>
              <w:instrText xml:space="preserve"> PAGEREF _Toc100089 \h </w:instrText>
            </w:r>
            <w:r>
              <w:fldChar w:fldCharType="separate"/>
            </w:r>
            <w:r>
              <w:t>31</w:t>
            </w:r>
            <w:r>
              <w:fldChar w:fldCharType="end"/>
            </w:r>
          </w:hyperlink>
        </w:p>
        <w:p>
          <w:pPr>
            <w:pStyle w:val="11"/>
            <w:ind w:left="360"/>
            <w:tabs>
              <w:tab w:val="right" w:leader="dot" w:pos="9026"/>
            </w:tabs>
            <w:spacing w:before="120" w:after="60"/>
          </w:pPr>
          <w:hyperlink w:anchor="_Toc100090" w:history="1">
            <w:r>
              <w:rPr>
                <w:rStyle w:val="Hyperlink"/>
              </w:rPr>
              <w:t>14.2 WebSocket API</w:t>
            </w:r>
            <w:r>
              <w:tab/>
            </w:r>
            <w:r>
              <w:fldChar w:fldCharType="begin"/>
            </w:r>
            <w:r>
              <w:instrText xml:space="preserve"> PAGEREF _Toc100090 \h </w:instrText>
            </w:r>
            <w:r>
              <w:fldChar w:fldCharType="separate"/>
            </w:r>
            <w:r>
              <w:t>31</w:t>
            </w:r>
            <w:r>
              <w:fldChar w:fldCharType="end"/>
            </w:r>
          </w:hyperlink>
        </w:p>
        <w:p>
          <w:pPr>
            <w:pStyle w:val="11"/>
            <w:ind w:left="360"/>
            <w:tabs>
              <w:tab w:val="right" w:leader="dot" w:pos="9026"/>
            </w:tabs>
            <w:spacing w:before="120" w:after="60"/>
          </w:pPr>
          <w:hyperlink w:anchor="_Toc100091" w:history="1">
            <w:r>
              <w:rPr>
                <w:rStyle w:val="Hyperlink"/>
              </w:rPr>
              <w:t>14.3 FIX Protocol API</w:t>
            </w:r>
            <w:r>
              <w:tab/>
            </w:r>
            <w:r>
              <w:fldChar w:fldCharType="begin"/>
            </w:r>
            <w:r>
              <w:instrText xml:space="preserve"> PAGEREF _Toc100091 \h </w:instrText>
            </w:r>
            <w:r>
              <w:fldChar w:fldCharType="separate"/>
            </w:r>
            <w:r>
              <w:t>32</w:t>
            </w:r>
            <w:r>
              <w:fldChar w:fldCharType="end"/>
            </w:r>
          </w:hyperlink>
        </w:p>
        <w:p>
          <w:pPr>
            <w:pStyle w:val="11"/>
            <w:ind w:left="360"/>
            <w:tabs>
              <w:tab w:val="right" w:leader="dot" w:pos="9026"/>
            </w:tabs>
            <w:spacing w:before="120" w:after="60"/>
          </w:pPr>
          <w:hyperlink w:anchor="_Toc100092" w:history="1">
            <w:r>
              <w:rPr>
                <w:rStyle w:val="Hyperlink"/>
              </w:rPr>
              <w:t>14.4 Rate Limiting</w:t>
            </w:r>
            <w:r>
              <w:tab/>
            </w:r>
            <w:r>
              <w:fldChar w:fldCharType="begin"/>
            </w:r>
            <w:r>
              <w:instrText xml:space="preserve"> PAGEREF _Toc100092 \h </w:instrText>
            </w:r>
            <w:r>
              <w:fldChar w:fldCharType="separate"/>
            </w:r>
            <w:r>
              <w:t>32</w:t>
            </w:r>
            <w:r>
              <w:fldChar w:fldCharType="end"/>
            </w:r>
          </w:hyperlink>
        </w:p>
        <w:p>
          <w:pPr>
            <w:pStyle w:val="9"/>
            <w:tabs>
              <w:tab w:val="right" w:leader="dot" w:pos="9026"/>
            </w:tabs>
            <w:spacing w:before="120" w:after="60"/>
          </w:pPr>
          <w:hyperlink w:anchor="_Toc100093" w:history="1">
            <w:r>
              <w:rPr>
                <w:rStyle w:val="Hyperlink"/>
              </w:rPr>
              <w:t>Section 15: Mobile Architecture</w:t>
            </w:r>
            <w:r>
              <w:tab/>
            </w:r>
            <w:r>
              <w:fldChar w:fldCharType="begin"/>
            </w:r>
            <w:r>
              <w:instrText xml:space="preserve"> PAGEREF _Toc100093 \h </w:instrText>
            </w:r>
            <w:r>
              <w:fldChar w:fldCharType="separate"/>
            </w:r>
            <w:r>
              <w:t>32</w:t>
            </w:r>
            <w:r>
              <w:fldChar w:fldCharType="end"/>
            </w:r>
          </w:hyperlink>
        </w:p>
        <w:p>
          <w:pPr>
            <w:pStyle w:val="11"/>
            <w:ind w:left="360"/>
            <w:tabs>
              <w:tab w:val="right" w:leader="dot" w:pos="9026"/>
            </w:tabs>
            <w:spacing w:before="120" w:after="60"/>
          </w:pPr>
          <w:hyperlink w:anchor="_Toc100094" w:history="1">
            <w:r>
              <w:rPr>
                <w:rStyle w:val="Hyperlink"/>
              </w:rPr>
              <w:t>15.1 Android Architecture</w:t>
            </w:r>
            <w:r>
              <w:tab/>
            </w:r>
            <w:r>
              <w:fldChar w:fldCharType="begin"/>
            </w:r>
            <w:r>
              <w:instrText xml:space="preserve"> PAGEREF _Toc100094 \h </w:instrText>
            </w:r>
            <w:r>
              <w:fldChar w:fldCharType="separate"/>
            </w:r>
            <w:r>
              <w:t>32</w:t>
            </w:r>
            <w:r>
              <w:fldChar w:fldCharType="end"/>
            </w:r>
          </w:hyperlink>
        </w:p>
        <w:p>
          <w:pPr>
            <w:pStyle w:val="11"/>
            <w:ind w:left="360"/>
            <w:tabs>
              <w:tab w:val="right" w:leader="dot" w:pos="9026"/>
            </w:tabs>
            <w:spacing w:before="120" w:after="60"/>
          </w:pPr>
          <w:hyperlink w:anchor="_Toc100095" w:history="1">
            <w:r>
              <w:rPr>
                <w:rStyle w:val="Hyperlink"/>
              </w:rPr>
              <w:t>15.2 iOS Architecture</w:t>
            </w:r>
            <w:r>
              <w:tab/>
            </w:r>
            <w:r>
              <w:fldChar w:fldCharType="begin"/>
            </w:r>
            <w:r>
              <w:instrText xml:space="preserve"> PAGEREF _Toc100095 \h </w:instrText>
            </w:r>
            <w:r>
              <w:fldChar w:fldCharType="separate"/>
            </w:r>
            <w:r>
              <w:t>33</w:t>
            </w:r>
            <w:r>
              <w:fldChar w:fldCharType="end"/>
            </w:r>
          </w:hyperlink>
        </w:p>
        <w:p>
          <w:pPr>
            <w:pStyle w:val="11"/>
            <w:ind w:left="360"/>
            <w:tabs>
              <w:tab w:val="right" w:leader="dot" w:pos="9026"/>
            </w:tabs>
            <w:spacing w:before="120" w:after="60"/>
          </w:pPr>
          <w:hyperlink w:anchor="_Toc100096" w:history="1">
            <w:r>
              <w:rPr>
                <w:rStyle w:val="Hyperlink"/>
              </w:rPr>
              <w:t>15.3 Offline Support and Push Notifications</w:t>
            </w:r>
            <w:r>
              <w:tab/>
            </w:r>
            <w:r>
              <w:fldChar w:fldCharType="begin"/>
            </w:r>
            <w:r>
              <w:instrText xml:space="preserve"> PAGEREF _Toc100096 \h </w:instrText>
            </w:r>
            <w:r>
              <w:fldChar w:fldCharType="separate"/>
            </w:r>
            <w:r>
              <w:t>33</w:t>
            </w:r>
            <w:r>
              <w:fldChar w:fldCharType="end"/>
            </w:r>
          </w:hyperlink>
        </w:p>
        <w:p>
          <w:pPr>
            <w:pStyle w:val="9"/>
            <w:tabs>
              <w:tab w:val="right" w:leader="dot" w:pos="9026"/>
            </w:tabs>
            <w:spacing w:before="120" w:after="60"/>
          </w:pPr>
          <w:hyperlink w:anchor="_Toc100097" w:history="1">
            <w:r>
              <w:rPr>
                <w:rStyle w:val="Hyperlink"/>
              </w:rPr>
              <w:t>Section 16: Analytics Platform</w:t>
            </w:r>
            <w:r>
              <w:tab/>
            </w:r>
            <w:r>
              <w:fldChar w:fldCharType="begin"/>
            </w:r>
            <w:r>
              <w:instrText xml:space="preserve"> PAGEREF _Toc100097 \h </w:instrText>
            </w:r>
            <w:r>
              <w:fldChar w:fldCharType="separate"/>
            </w:r>
            <w:r>
              <w:t>33</w:t>
            </w:r>
            <w:r>
              <w:fldChar w:fldCharType="end"/>
            </w:r>
          </w:hyperlink>
        </w:p>
        <w:p>
          <w:pPr>
            <w:pStyle w:val="11"/>
            <w:ind w:left="360"/>
            <w:tabs>
              <w:tab w:val="right" w:leader="dot" w:pos="9026"/>
            </w:tabs>
            <w:spacing w:before="120" w:after="60"/>
          </w:pPr>
          <w:hyperlink w:anchor="_Toc100098" w:history="1">
            <w:r>
              <w:rPr>
                <w:rStyle w:val="Hyperlink"/>
              </w:rPr>
              <w:t>16.1 Architecture Overview</w:t>
            </w:r>
            <w:r>
              <w:tab/>
            </w:r>
            <w:r>
              <w:fldChar w:fldCharType="begin"/>
            </w:r>
            <w:r>
              <w:instrText xml:space="preserve"> PAGEREF _Toc100098 \h </w:instrText>
            </w:r>
            <w:r>
              <w:fldChar w:fldCharType="separate"/>
            </w:r>
            <w:r>
              <w:t>34</w:t>
            </w:r>
            <w:r>
              <w:fldChar w:fldCharType="end"/>
            </w:r>
          </w:hyperlink>
        </w:p>
        <w:p>
          <w:pPr>
            <w:pStyle w:val="11"/>
            <w:ind w:left="360"/>
            <w:tabs>
              <w:tab w:val="right" w:leader="dot" w:pos="9026"/>
            </w:tabs>
            <w:spacing w:before="120" w:after="60"/>
          </w:pPr>
          <w:hyperlink w:anchor="_Toc100099" w:history="1">
            <w:r>
              <w:rPr>
                <w:rStyle w:val="Hyperlink"/>
              </w:rPr>
              <w:t>16.2 Real-Time Dashboards</w:t>
            </w:r>
            <w:r>
              <w:tab/>
            </w:r>
            <w:r>
              <w:fldChar w:fldCharType="begin"/>
            </w:r>
            <w:r>
              <w:instrText xml:space="preserve"> PAGEREF _Toc100099 \h </w:instrText>
            </w:r>
            <w:r>
              <w:fldChar w:fldCharType="separate"/>
            </w:r>
            <w:r>
              <w:t>34</w:t>
            </w:r>
            <w:r>
              <w:fldChar w:fldCharType="end"/>
            </w:r>
          </w:hyperlink>
        </w:p>
        <w:p>
          <w:pPr>
            <w:pStyle w:val="11"/>
            <w:ind w:left="360"/>
            <w:tabs>
              <w:tab w:val="right" w:leader="dot" w:pos="9026"/>
            </w:tabs>
            <w:spacing w:before="120" w:after="60"/>
          </w:pPr>
          <w:hyperlink w:anchor="_Toc100100" w:history="1">
            <w:r>
              <w:rPr>
                <w:rStyle w:val="Hyperlink"/>
              </w:rPr>
              <w:t>16.3 Data Pipeline</w:t>
            </w:r>
            <w:r>
              <w:tab/>
            </w:r>
            <w:r>
              <w:fldChar w:fldCharType="begin"/>
            </w:r>
            <w:r>
              <w:instrText xml:space="preserve"> PAGEREF _Toc100100 \h </w:instrText>
            </w:r>
            <w:r>
              <w:fldChar w:fldCharType="separate"/>
            </w:r>
            <w:r>
              <w:t>34</w:t>
            </w:r>
            <w:r>
              <w:fldChar w:fldCharType="end"/>
            </w:r>
          </w:hyperlink>
        </w:p>
        <w:p>
          <w:pPr>
            <w:pStyle w:val="9"/>
            <w:tabs>
              <w:tab w:val="right" w:leader="dot" w:pos="9026"/>
            </w:tabs>
            <w:spacing w:before="120" w:after="60"/>
          </w:pPr>
          <w:hyperlink w:anchor="_Toc100101" w:history="1">
            <w:r>
              <w:rPr>
                <w:rStyle w:val="Hyperlink"/>
              </w:rPr>
              <w:t>Section 17: AI Systems</w:t>
            </w:r>
            <w:r>
              <w:tab/>
            </w:r>
            <w:r>
              <w:fldChar w:fldCharType="begin"/>
            </w:r>
            <w:r>
              <w:instrText xml:space="preserve"> PAGEREF _Toc100101 \h </w:instrText>
            </w:r>
            <w:r>
              <w:fldChar w:fldCharType="separate"/>
            </w:r>
            <w:r>
              <w:t>34</w:t>
            </w:r>
            <w:r>
              <w:fldChar w:fldCharType="end"/>
            </w:r>
          </w:hyperlink>
        </w:p>
        <w:p>
          <w:pPr>
            <w:pStyle w:val="11"/>
            <w:ind w:left="360"/>
            <w:tabs>
              <w:tab w:val="right" w:leader="dot" w:pos="9026"/>
            </w:tabs>
            <w:spacing w:before="120" w:after="60"/>
          </w:pPr>
          <w:hyperlink w:anchor="_Toc100102" w:history="1">
            <w:r>
              <w:rPr>
                <w:rStyle w:val="Hyperlink"/>
              </w:rPr>
              <w:t>17.1 Fraud Detection AI</w:t>
            </w:r>
            <w:r>
              <w:tab/>
            </w:r>
            <w:r>
              <w:fldChar w:fldCharType="begin"/>
            </w:r>
            <w:r>
              <w:instrText xml:space="preserve"> PAGEREF _Toc100102 \h </w:instrText>
            </w:r>
            <w:r>
              <w:fldChar w:fldCharType="separate"/>
            </w:r>
            <w:r>
              <w:t>34</w:t>
            </w:r>
            <w:r>
              <w:fldChar w:fldCharType="end"/>
            </w:r>
          </w:hyperlink>
        </w:p>
        <w:p>
          <w:pPr>
            <w:pStyle w:val="11"/>
            <w:ind w:left="360"/>
            <w:tabs>
              <w:tab w:val="right" w:leader="dot" w:pos="9026"/>
            </w:tabs>
            <w:spacing w:before="120" w:after="60"/>
          </w:pPr>
          <w:hyperlink w:anchor="_Toc100103" w:history="1">
            <w:r>
              <w:rPr>
                <w:rStyle w:val="Hyperlink"/>
              </w:rPr>
              <w:t>17.2 Market Anomaly Detection</w:t>
            </w:r>
            <w:r>
              <w:tab/>
            </w:r>
            <w:r>
              <w:fldChar w:fldCharType="begin"/>
            </w:r>
            <w:r>
              <w:instrText xml:space="preserve"> PAGEREF _Toc100103 \h </w:instrText>
            </w:r>
            <w:r>
              <w:fldChar w:fldCharType="separate"/>
            </w:r>
            <w:r>
              <w:t>35</w:t>
            </w:r>
            <w:r>
              <w:fldChar w:fldCharType="end"/>
            </w:r>
          </w:hyperlink>
        </w:p>
        <w:p>
          <w:pPr>
            <w:pStyle w:val="11"/>
            <w:ind w:left="360"/>
            <w:tabs>
              <w:tab w:val="right" w:leader="dot" w:pos="9026"/>
            </w:tabs>
            <w:spacing w:before="120" w:after="60"/>
          </w:pPr>
          <w:hyperlink w:anchor="_Toc100104" w:history="1">
            <w:r>
              <w:rPr>
                <w:rStyle w:val="Hyperlink"/>
              </w:rPr>
              <w:t>17.3 Support Chatbot</w:t>
            </w:r>
            <w:r>
              <w:tab/>
            </w:r>
            <w:r>
              <w:fldChar w:fldCharType="begin"/>
            </w:r>
            <w:r>
              <w:instrText xml:space="preserve"> PAGEREF _Toc100104 \h </w:instrText>
            </w:r>
            <w:r>
              <w:fldChar w:fldCharType="separate"/>
            </w:r>
            <w:r>
              <w:t>35</w:t>
            </w:r>
            <w:r>
              <w:fldChar w:fldCharType="end"/>
            </w:r>
          </w:hyperlink>
        </w:p>
        <w:p>
          <w:pPr>
            <w:pStyle w:val="11"/>
            <w:ind w:left="360"/>
            <w:tabs>
              <w:tab w:val="right" w:leader="dot" w:pos="9026"/>
            </w:tabs>
            <w:spacing w:before="120" w:after="60"/>
          </w:pPr>
          <w:hyperlink w:anchor="_Toc100105" w:history="1">
            <w:r>
              <w:rPr>
                <w:rStyle w:val="Hyperlink"/>
              </w:rPr>
              <w:t>17.4 Trading Assistant</w:t>
            </w:r>
            <w:r>
              <w:tab/>
            </w:r>
            <w:r>
              <w:fldChar w:fldCharType="begin"/>
            </w:r>
            <w:r>
              <w:instrText xml:space="preserve"> PAGEREF _Toc100105 \h </w:instrText>
            </w:r>
            <w:r>
              <w:fldChar w:fldCharType="separate"/>
            </w:r>
            <w:r>
              <w:t>35</w:t>
            </w:r>
            <w:r>
              <w:fldChar w:fldCharType="end"/>
            </w:r>
          </w:hyperlink>
        </w:p>
        <w:p>
          <w:pPr>
            <w:pStyle w:val="9"/>
            <w:tabs>
              <w:tab w:val="right" w:leader="dot" w:pos="9026"/>
            </w:tabs>
            <w:spacing w:before="120" w:after="60"/>
          </w:pPr>
          <w:hyperlink w:anchor="_Toc100106" w:history="1">
            <w:r>
              <w:rPr>
                <w:rStyle w:val="Hyperlink"/>
              </w:rPr>
              <w:t>Section 18: Disaster Recovery</w:t>
            </w:r>
            <w:r>
              <w:tab/>
            </w:r>
            <w:r>
              <w:fldChar w:fldCharType="begin"/>
            </w:r>
            <w:r>
              <w:instrText xml:space="preserve"> PAGEREF _Toc100106 \h </w:instrText>
            </w:r>
            <w:r>
              <w:fldChar w:fldCharType="separate"/>
            </w:r>
            <w:r>
              <w:t>36</w:t>
            </w:r>
            <w:r>
              <w:fldChar w:fldCharType="end"/>
            </w:r>
          </w:hyperlink>
        </w:p>
        <w:p>
          <w:pPr>
            <w:pStyle w:val="11"/>
            <w:ind w:left="360"/>
            <w:tabs>
              <w:tab w:val="right" w:leader="dot" w:pos="9026"/>
            </w:tabs>
            <w:spacing w:before="120" w:after="60"/>
          </w:pPr>
          <w:hyperlink w:anchor="_Toc100107" w:history="1">
            <w:r>
              <w:rPr>
                <w:rStyle w:val="Hyperlink"/>
              </w:rPr>
              <w:t>18.1 Backup Strategy</w:t>
            </w:r>
            <w:r>
              <w:tab/>
            </w:r>
            <w:r>
              <w:fldChar w:fldCharType="begin"/>
            </w:r>
            <w:r>
              <w:instrText xml:space="preserve"> PAGEREF _Toc100107 \h </w:instrText>
            </w:r>
            <w:r>
              <w:fldChar w:fldCharType="separate"/>
            </w:r>
            <w:r>
              <w:t>36</w:t>
            </w:r>
            <w:r>
              <w:fldChar w:fldCharType="end"/>
            </w:r>
          </w:hyperlink>
        </w:p>
        <w:p>
          <w:pPr>
            <w:pStyle w:val="11"/>
            <w:ind w:left="360"/>
            <w:tabs>
              <w:tab w:val="right" w:leader="dot" w:pos="9026"/>
            </w:tabs>
            <w:spacing w:before="120" w:after="60"/>
          </w:pPr>
          <w:hyperlink w:anchor="_Toc100108" w:history="1">
            <w:r>
              <w:rPr>
                <w:rStyle w:val="Hyperlink"/>
              </w:rPr>
              <w:t>18.2 Failover Procedures</w:t>
            </w:r>
            <w:r>
              <w:tab/>
            </w:r>
            <w:r>
              <w:fldChar w:fldCharType="begin"/>
            </w:r>
            <w:r>
              <w:instrText xml:space="preserve"> PAGEREF _Toc100108 \h </w:instrText>
            </w:r>
            <w:r>
              <w:fldChar w:fldCharType="separate"/>
            </w:r>
            <w:r>
              <w:t>36</w:t>
            </w:r>
            <w:r>
              <w:fldChar w:fldCharType="end"/>
            </w:r>
          </w:hyperlink>
        </w:p>
        <w:p>
          <w:pPr>
            <w:pStyle w:val="11"/>
            <w:ind w:left="360"/>
            <w:tabs>
              <w:tab w:val="right" w:leader="dot" w:pos="9026"/>
            </w:tabs>
            <w:spacing w:before="120" w:after="60"/>
          </w:pPr>
          <w:hyperlink w:anchor="_Toc100109" w:history="1">
            <w:r>
              <w:rPr>
                <w:rStyle w:val="Hyperlink"/>
              </w:rPr>
              <w:t>18.3 RTO and RPO Targets</w:t>
            </w:r>
            <w:r>
              <w:tab/>
            </w:r>
            <w:r>
              <w:fldChar w:fldCharType="begin"/>
            </w:r>
            <w:r>
              <w:instrText xml:space="preserve"> PAGEREF _Toc100109 \h </w:instrText>
            </w:r>
            <w:r>
              <w:fldChar w:fldCharType="separate"/>
            </w:r>
            <w:r>
              <w:t>36</w:t>
            </w:r>
            <w:r>
              <w:fldChar w:fldCharType="end"/>
            </w:r>
          </w:hyperlink>
        </w:p>
        <w:p>
          <w:pPr>
            <w:pStyle w:val="9"/>
            <w:tabs>
              <w:tab w:val="right" w:leader="dot" w:pos="9026"/>
            </w:tabs>
            <w:spacing w:before="120" w:after="60"/>
          </w:pPr>
          <w:hyperlink w:anchor="_Toc100110" w:history="1">
            <w:r>
              <w:rPr>
                <w:rStyle w:val="Hyperlink"/>
              </w:rPr>
              <w:t>Section 19: Team Structure</w:t>
            </w:r>
            <w:r>
              <w:tab/>
            </w:r>
            <w:r>
              <w:fldChar w:fldCharType="begin"/>
            </w:r>
            <w:r>
              <w:instrText xml:space="preserve"> PAGEREF _Toc100110 \h </w:instrText>
            </w:r>
            <w:r>
              <w:fldChar w:fldCharType="separate"/>
            </w:r>
            <w:r>
              <w:t>37</w:t>
            </w:r>
            <w:r>
              <w:fldChar w:fldCharType="end"/>
            </w:r>
          </w:hyperlink>
        </w:p>
        <w:p>
          <w:pPr>
            <w:pStyle w:val="11"/>
            <w:ind w:left="360"/>
            <w:tabs>
              <w:tab w:val="right" w:leader="dot" w:pos="9026"/>
            </w:tabs>
            <w:spacing w:before="120" w:after="60"/>
          </w:pPr>
          <w:hyperlink w:anchor="_Toc100111" w:history="1">
            <w:r>
              <w:rPr>
                <w:rStyle w:val="Hyperlink"/>
              </w:rPr>
              <w:t>19.1 Engineering Teams</w:t>
            </w:r>
            <w:r>
              <w:tab/>
            </w:r>
            <w:r>
              <w:fldChar w:fldCharType="begin"/>
            </w:r>
            <w:r>
              <w:instrText xml:space="preserve"> PAGEREF _Toc100111 \h </w:instrText>
            </w:r>
            <w:r>
              <w:fldChar w:fldCharType="separate"/>
            </w:r>
            <w:r>
              <w:t>37</w:t>
            </w:r>
            <w:r>
              <w:fldChar w:fldCharType="end"/>
            </w:r>
          </w:hyperlink>
        </w:p>
        <w:p>
          <w:pPr>
            <w:pStyle w:val="11"/>
            <w:ind w:left="360"/>
            <w:tabs>
              <w:tab w:val="right" w:leader="dot" w:pos="9026"/>
            </w:tabs>
            <w:spacing w:before="120" w:after="60"/>
          </w:pPr>
          <w:hyperlink w:anchor="_Toc100112" w:history="1">
            <w:r>
              <w:rPr>
                <w:rStyle w:val="Hyperlink"/>
              </w:rPr>
              <w:t>19.2 Security Team</w:t>
            </w:r>
            <w:r>
              <w:tab/>
            </w:r>
            <w:r>
              <w:fldChar w:fldCharType="begin"/>
            </w:r>
            <w:r>
              <w:instrText xml:space="preserve"> PAGEREF _Toc100112 \h </w:instrText>
            </w:r>
            <w:r>
              <w:fldChar w:fldCharType="separate"/>
            </w:r>
            <w:r>
              <w:t>37</w:t>
            </w:r>
            <w:r>
              <w:fldChar w:fldCharType="end"/>
            </w:r>
          </w:hyperlink>
        </w:p>
        <w:p>
          <w:pPr>
            <w:pStyle w:val="11"/>
            <w:ind w:left="360"/>
            <w:tabs>
              <w:tab w:val="right" w:leader="dot" w:pos="9026"/>
            </w:tabs>
            <w:spacing w:before="120" w:after="60"/>
          </w:pPr>
          <w:hyperlink w:anchor="_Toc100113" w:history="1">
            <w:r>
              <w:rPr>
                <w:rStyle w:val="Hyperlink"/>
              </w:rPr>
              <w:t>19.3 DevOps and SRE Teams</w:t>
            </w:r>
            <w:r>
              <w:tab/>
            </w:r>
            <w:r>
              <w:fldChar w:fldCharType="begin"/>
            </w:r>
            <w:r>
              <w:instrText xml:space="preserve"> PAGEREF _Toc100113 \h </w:instrText>
            </w:r>
            <w:r>
              <w:fldChar w:fldCharType="separate"/>
            </w:r>
            <w:r>
              <w:t>37</w:t>
            </w:r>
            <w:r>
              <w:fldChar w:fldCharType="end"/>
            </w:r>
          </w:hyperlink>
        </w:p>
        <w:p>
          <w:pPr>
            <w:pStyle w:val="11"/>
            <w:ind w:left="360"/>
            <w:tabs>
              <w:tab w:val="right" w:leader="dot" w:pos="9026"/>
            </w:tabs>
            <w:spacing w:before="120" w:after="60"/>
          </w:pPr>
          <w:hyperlink w:anchor="_Toc100114" w:history="1">
            <w:r>
              <w:rPr>
                <w:rStyle w:val="Hyperlink"/>
              </w:rPr>
              <w:t>19.4 Compliance and Product Teams</w:t>
            </w:r>
            <w:r>
              <w:tab/>
            </w:r>
            <w:r>
              <w:fldChar w:fldCharType="begin"/>
            </w:r>
            <w:r>
              <w:instrText xml:space="preserve"> PAGEREF _Toc100114 \h </w:instrText>
            </w:r>
            <w:r>
              <w:fldChar w:fldCharType="separate"/>
            </w:r>
            <w:r>
              <w:t>38</w:t>
            </w:r>
            <w:r>
              <w:fldChar w:fldCharType="end"/>
            </w:r>
          </w:hyperlink>
        </w:p>
        <w:p>
          <w:pPr>
            <w:pStyle w:val="9"/>
            <w:tabs>
              <w:tab w:val="right" w:leader="dot" w:pos="9026"/>
            </w:tabs>
            <w:spacing w:before="120" w:after="60"/>
          </w:pPr>
          <w:hyperlink w:anchor="_Toc100115" w:history="1">
            <w:r>
              <w:rPr>
                <w:rStyle w:val="Hyperlink"/>
              </w:rPr>
              <w:t>Section 20: Development Roadmap</w:t>
            </w:r>
            <w:r>
              <w:tab/>
            </w:r>
            <w:r>
              <w:fldChar w:fldCharType="begin"/>
            </w:r>
            <w:r>
              <w:instrText xml:space="preserve"> PAGEREF _Toc100115 \h </w:instrText>
            </w:r>
            <w:r>
              <w:fldChar w:fldCharType="separate"/>
            </w:r>
            <w:r>
              <w:t>38</w:t>
            </w:r>
            <w:r>
              <w:fldChar w:fldCharType="end"/>
            </w:r>
          </w:hyperlink>
        </w:p>
        <w:p>
          <w:pPr>
            <w:pStyle w:val="11"/>
            <w:ind w:left="360"/>
            <w:tabs>
              <w:tab w:val="right" w:leader="dot" w:pos="9026"/>
            </w:tabs>
            <w:spacing w:before="120" w:after="60"/>
          </w:pPr>
          <w:hyperlink w:anchor="_Toc100116" w:history="1">
            <w:r>
              <w:rPr>
                <w:rStyle w:val="Hyperlink"/>
              </w:rPr>
              <w:t>20.1 Phase 1: Foundation (Months 1-6)</w:t>
            </w:r>
            <w:r>
              <w:tab/>
            </w:r>
            <w:r>
              <w:fldChar w:fldCharType="begin"/>
            </w:r>
            <w:r>
              <w:instrText xml:space="preserve"> PAGEREF _Toc100116 \h </w:instrText>
            </w:r>
            <w:r>
              <w:fldChar w:fldCharType="separate"/>
            </w:r>
            <w:r>
              <w:t>38</w:t>
            </w:r>
            <w:r>
              <w:fldChar w:fldCharType="end"/>
            </w:r>
          </w:hyperlink>
        </w:p>
        <w:p>
          <w:pPr>
            <w:pStyle w:val="11"/>
            <w:ind w:left="360"/>
            <w:tabs>
              <w:tab w:val="right" w:leader="dot" w:pos="9026"/>
            </w:tabs>
            <w:spacing w:before="120" w:after="60"/>
          </w:pPr>
          <w:hyperlink w:anchor="_Toc100117" w:history="1">
            <w:r>
              <w:rPr>
                <w:rStyle w:val="Hyperlink"/>
              </w:rPr>
              <w:t>20.2 Phase 2: Expansion (Months 7-12)</w:t>
            </w:r>
            <w:r>
              <w:tab/>
            </w:r>
            <w:r>
              <w:fldChar w:fldCharType="begin"/>
            </w:r>
            <w:r>
              <w:instrText xml:space="preserve"> PAGEREF _Toc100117 \h </w:instrText>
            </w:r>
            <w:r>
              <w:fldChar w:fldCharType="separate"/>
            </w:r>
            <w:r>
              <w:t>38</w:t>
            </w:r>
            <w:r>
              <w:fldChar w:fldCharType="end"/>
            </w:r>
          </w:hyperlink>
        </w:p>
        <w:p>
          <w:pPr>
            <w:pStyle w:val="11"/>
            <w:ind w:left="360"/>
            <w:tabs>
              <w:tab w:val="right" w:leader="dot" w:pos="9026"/>
            </w:tabs>
            <w:spacing w:before="120" w:after="60"/>
          </w:pPr>
          <w:hyperlink w:anchor="_Toc100118" w:history="1">
            <w:r>
              <w:rPr>
                <w:rStyle w:val="Hyperlink"/>
              </w:rPr>
              <w:t>20.3 Phase 3: Derivatives and Scale (Months 13-18)</w:t>
            </w:r>
            <w:r>
              <w:tab/>
            </w:r>
            <w:r>
              <w:fldChar w:fldCharType="begin"/>
            </w:r>
            <w:r>
              <w:instrText xml:space="preserve"> PAGEREF _Toc100118 \h </w:instrText>
            </w:r>
            <w:r>
              <w:fldChar w:fldCharType="separate"/>
            </w:r>
            <w:r>
              <w:t>39</w:t>
            </w:r>
            <w:r>
              <w:fldChar w:fldCharType="end"/>
            </w:r>
          </w:hyperlink>
        </w:p>
        <w:p>
          <w:pPr>
            <w:pStyle w:val="11"/>
            <w:ind w:left="360"/>
            <w:tabs>
              <w:tab w:val="right" w:leader="dot" w:pos="9026"/>
            </w:tabs>
            <w:spacing w:before="120" w:after="60"/>
          </w:pPr>
          <w:hyperlink w:anchor="_Toc100119" w:history="1">
            <w:r>
              <w:rPr>
                <w:rStyle w:val="Hyperlink"/>
              </w:rPr>
              <w:t>20.4 Phase 4: Ecosystem (Months 19-24)</w:t>
            </w:r>
            <w:r>
              <w:tab/>
            </w:r>
            <w:r>
              <w:fldChar w:fldCharType="begin"/>
            </w:r>
            <w:r>
              <w:instrText xml:space="preserve"> PAGEREF _Toc100119 \h </w:instrText>
            </w:r>
            <w:r>
              <w:fldChar w:fldCharType="separate"/>
            </w:r>
            <w:r>
              <w:t>39</w:t>
            </w:r>
            <w:r>
              <w:fldChar w:fldCharType="end"/>
            </w:r>
          </w:hyperlink>
        </w:p>
        <w:p>
          <w:pPr>
            <w:pStyle w:val="11"/>
            <w:ind w:left="360"/>
            <w:tabs>
              <w:tab w:val="right" w:leader="dot" w:pos="9026"/>
            </w:tabs>
            <w:spacing w:before="120" w:after="60"/>
          </w:pPr>
          <w:hyperlink w:anchor="_Toc100120" w:history="1">
            <w:r>
              <w:rPr>
                <w:rStyle w:val="Hyperlink"/>
              </w:rPr>
              <w:t>20.5 Phase 5: World-Class (Months 25-36)</w:t>
            </w:r>
            <w:r>
              <w:tab/>
            </w:r>
            <w:r>
              <w:fldChar w:fldCharType="begin"/>
            </w:r>
            <w:r>
              <w:instrText xml:space="preserve"> PAGEREF _Toc100120 \h </w:instrText>
            </w:r>
            <w:r>
              <w:fldChar w:fldCharType="separate"/>
            </w:r>
            <w:r>
              <w:t>39</w:t>
            </w:r>
            <w:r>
              <w:fldChar w:fldCharType="end"/>
            </w:r>
          </w:hyperlink>
        </w:p>
        <w:p>
          <w:r>
            <w:fldChar w:fldCharType="end"/>
          </w:r>
        </w:p>
      </w:sdtContent>
    </w:sdt>
    <w:p>
      <w:pPr>
        <w:spacing w:after="0" w:before="200"/>
      </w:pPr>
      <w:r>
        <w:rPr>
          <w:rFonts w:ascii="Times New Roman"/>
          <w:i/>
          <w:iCs/>
          <w:color w:val="4A6575"/>
          <w:sz w:val="18"/>
          <w:szCs w:val="18"/>
        </w:rPr>
        <w:t xml:space="preserve">(Right-click the Table of Contents above and select 'Update Field' to refresh page numbers after opening in Word.)</w:t>
      </w:r>
    </w:p>
    <w:p>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Times New Roman"/>
          <w:b/>
          <w:bCs/>
          <w:color w:val="0F2027"/>
          <w:sz w:val="36"/>
          <w:szCs w:val="36"/>
        </w:rPr>
        <w:t xml:space="preserve">Section 1: Executive Overview</w:t>
      </w:r>
      <w:bookmarkEnd w:id="100000"/>
    </w:p>
    <w:p>
      <w:pPr>
        <w:pStyle w:val="Heading2"/>
        <w:spacing w:after="160" w:before="360" w:line="312"/>
      </w:pPr>
      <w:bookmarkStart w:id="100001" w:name="_Toc100001"/>
      <w:r>
        <w:rPr>
          <w:rFonts w:ascii="Times New Roman"/>
          <w:b/>
          <w:bCs/>
          <w:color w:val="0F2027"/>
          <w:sz w:val="30"/>
          <w:szCs w:val="30"/>
        </w:rPr>
        <w:t xml:space="preserve">1.1 Business Goals</w:t>
      </w:r>
      <w:bookmarkEnd w:id="100001"/>
    </w:p>
    <w:p>
      <w:pPr>
        <w:spacing w:after="120" w:line="312"/>
        <w:jc w:val="both"/>
      </w:pPr>
      <w:r>
        <w:rPr>
          <w:rFonts w:ascii="Times New Roman"/>
          <w:color w:val="1A1A1A"/>
          <w:sz w:val="22"/>
          <w:szCs w:val="22"/>
        </w:rPr>
        <w:t xml:space="preserve">The platform is designed to become a world-leading cryptocurrency exchange, capable of processing millions of transactions per second while maintaining the highest standards of security, compliance, and user experience. The primary business goal is to build a global digital asset trading infrastructure that serves retail traders, institutional investors, high-frequency trading firms, and payment processors across every major jurisdiction. The exchange shall support a minimum of 500 trading pairs across spot, margin, futures, and options markets, with a roadmap to exceed 2,000 pairs within 24 months of launch.</w:t>
      </w:r>
    </w:p>
    <w:p>
      <w:pPr>
        <w:spacing w:after="120" w:line="312"/>
        <w:jc w:val="both"/>
      </w:pPr>
      <w:r>
        <w:rPr>
          <w:rFonts w:ascii="Times New Roman"/>
          <w:color w:val="1A1A1A"/>
          <w:sz w:val="22"/>
          <w:szCs w:val="22"/>
        </w:rPr>
        <w:t xml:space="preserve">Revenue generation will be diversified across multiple streams: trading fees (maker-taker model), withdrawal fees, margin interest, listing fees from token issuers, premium API access tiers, institutional custody services, staking and earn product commissions, NFT marketplace royalties, and subscription-based analytics and research tools. The target is to achieve a Tier-1 exchange status within 36 months, competing directly with Binance, Coinbase, and Bybit on every metric including liquidity depth, order book spread, supported assets, and geographic coverage.</w:t>
      </w:r>
    </w:p>
    <w:p>
      <w:pPr>
        <w:spacing w:after="120" w:line="312"/>
        <w:jc w:val="both"/>
      </w:pPr>
      <w:r>
        <w:rPr>
          <w:rFonts w:ascii="Times New Roman"/>
          <w:color w:val="1A1A1A"/>
          <w:sz w:val="22"/>
          <w:szCs w:val="22"/>
        </w:rPr>
        <w:t xml:space="preserve">The platform will also serve as a foundational infrastructure layer for the broader cryptocurrency ecosystem, providing B2B services such as white-label exchange solutions, market data feeds, custody-as-a-service, and institutional over-the-counter (OTC) trading desks. This dual B2C/B2B approach ensures multiple revenue diversification paths and reduces dependency on any single market segment.</w:t>
      </w:r>
    </w:p>
    <w:p>
      <w:pPr>
        <w:pStyle w:val="Heading2"/>
        <w:spacing w:after="160" w:before="360" w:line="312"/>
      </w:pPr>
      <w:bookmarkStart w:id="100002" w:name="_Toc100002"/>
      <w:r>
        <w:rPr>
          <w:rFonts w:ascii="Times New Roman"/>
          <w:b/>
          <w:bCs/>
          <w:color w:val="0F2027"/>
          <w:sz w:val="30"/>
          <w:szCs w:val="30"/>
        </w:rPr>
        <w:t xml:space="preserve">1.2 Platform Vision</w:t>
      </w:r>
      <w:bookmarkEnd w:id="100002"/>
    </w:p>
    <w:p>
      <w:pPr>
        <w:spacing w:after="120" w:line="312"/>
        <w:jc w:val="both"/>
      </w:pPr>
      <w:r>
        <w:rPr>
          <w:rFonts w:ascii="Times New Roman"/>
          <w:color w:val="1A1A1A"/>
          <w:sz w:val="22"/>
          <w:szCs w:val="22"/>
        </w:rPr>
        <w:t xml:space="preserve">Our vision is to create the most trusted, performant, and feature-rich digital asset trading platform in the world. The platform will be designed from the ground up with institutional-grade reliability while remaining accessible to retail users. Every subsystem will be engineered with a zero-trust security model, ensuring that no single point of failure can compromise user funds or data. The architecture will support horizontal scaling to 100 million registered users and 1 million concurrent sessions without degradation in trading performance or API responsiveness.</w:t>
      </w:r>
    </w:p>
    <w:p>
      <w:pPr>
        <w:spacing w:after="120" w:line="312"/>
        <w:jc w:val="both"/>
      </w:pPr>
      <w:r>
        <w:rPr>
          <w:rFonts w:ascii="Times New Roman"/>
          <w:color w:val="1A1A1A"/>
          <w:sz w:val="22"/>
          <w:szCs w:val="22"/>
        </w:rPr>
        <w:t xml:space="preserve">The platform will pioneer next-generation trading features including AI-driven portfolio management, social trading networks, decentralized custody options through multi-party computation (MPC), cross-chain atomic swaps, and a fully programmable exchange through an open API and plugin ecosystem. User experience will be prioritized through multi-language support in 40+ languages, localized payment methods, 24/7 multilingual customer support, and intuitive mobile-first interfaces for both iOS and Android.</w:t>
      </w:r>
    </w:p>
    <w:p>
      <w:pPr>
        <w:pStyle w:val="Heading2"/>
        <w:spacing w:after="160" w:before="360" w:line="312"/>
      </w:pPr>
      <w:bookmarkStart w:id="100003" w:name="_Toc100003"/>
      <w:r>
        <w:rPr>
          <w:rFonts w:ascii="Times New Roman"/>
          <w:b/>
          <w:bCs/>
          <w:color w:val="0F2027"/>
          <w:sz w:val="30"/>
          <w:szCs w:val="30"/>
        </w:rPr>
        <w:t xml:space="preserve">1.3 User Types</w:t>
      </w:r>
      <w:bookmarkEnd w:id="100003"/>
    </w:p>
    <w:p>
      <w:pPr>
        <w:keepNext/>
        <w:spacing w:after="80" w:before="200" w:line="312"/>
      </w:pPr>
      <w:r>
        <w:rPr>
          <w:rFonts w:ascii="Times New Roman"/>
          <w:b/>
          <w:bCs/>
          <w:i/>
          <w:iCs/>
          <w:color w:val="4A6575"/>
          <w:sz w:val="20"/>
          <w:szCs w:val="20"/>
        </w:rPr>
        <w:t xml:space="preserve">Table 1.1: User Classification Matrix</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User Type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Description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Key Features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Verification Level</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Retail Basic</w:t>
            </w:r>
          </w:p>
        </w:tc>
        <w:tc>
          <w:tcPr>
            <w:shd w:fill="EDF3F5" w:val="clear"/>
            <w:tcMar>
              <w:top w:type="dxa" w:w="50"/>
              <w:left w:type="dxa" w:w="100"/>
              <w:bottom w:type="dxa" w:w="50"/>
              <w:right w:type="dxa" w:w="100"/>
            </w:tcMar>
          </w:tcPr>
          <w:p>
            <w:r>
              <w:rPr>
                <w:rFonts w:ascii="Times New Roman"/>
                <w:color w:val="1A1A1A"/>
                <w:sz w:val="20"/>
                <w:szCs w:val="20"/>
              </w:rPr>
              <w:t xml:space="preserve">Individual casual traders</w:t>
            </w:r>
          </w:p>
        </w:tc>
        <w:tc>
          <w:tcPr>
            <w:shd w:fill="EDF3F5" w:val="clear"/>
            <w:tcMar>
              <w:top w:type="dxa" w:w="50"/>
              <w:left w:type="dxa" w:w="100"/>
              <w:bottom w:type="dxa" w:w="50"/>
              <w:right w:type="dxa" w:w="100"/>
            </w:tcMar>
          </w:tcPr>
          <w:p>
            <w:r>
              <w:rPr>
                <w:rFonts w:ascii="Times New Roman"/>
                <w:color w:val="1A1A1A"/>
                <w:sz w:val="20"/>
                <w:szCs w:val="20"/>
              </w:rPr>
              <w:t xml:space="preserve">Spot trading, basic charts, P2P</w:t>
            </w:r>
          </w:p>
        </w:tc>
        <w:tc>
          <w:tcPr>
            <w:shd w:fill="EDF3F5" w:val="clear"/>
            <w:tcMar>
              <w:top w:type="dxa" w:w="50"/>
              <w:left w:type="dxa" w:w="100"/>
              <w:bottom w:type="dxa" w:w="50"/>
              <w:right w:type="dxa" w:w="100"/>
            </w:tcMar>
          </w:tcPr>
          <w:p>
            <w:r>
              <w:rPr>
                <w:rFonts w:ascii="Times New Roman"/>
                <w:color w:val="1A1A1A"/>
                <w:sz w:val="20"/>
                <w:szCs w:val="20"/>
              </w:rPr>
              <w:t xml:space="preserve">KYC Level 1</w:t>
            </w:r>
          </w:p>
        </w:tc>
      </w:tr>
      <w:tr>
        <w:trPr>
          <w:cantSplit/>
        </w:trPr>
        <w:tc>
          <w:tcPr>
            <w:tcMar>
              <w:top w:type="dxa" w:w="50"/>
              <w:left w:type="dxa" w:w="100"/>
              <w:bottom w:type="dxa" w:w="50"/>
              <w:right w:type="dxa" w:w="100"/>
            </w:tcMar>
          </w:tcPr>
          <w:p>
            <w:r>
              <w:rPr>
                <w:rFonts w:ascii="Times New Roman"/>
                <w:color w:val="1A1A1A"/>
                <w:sz w:val="20"/>
                <w:szCs w:val="20"/>
              </w:rPr>
              <w:t xml:space="preserve">Retail Pro</w:t>
            </w:r>
          </w:p>
        </w:tc>
        <w:tc>
          <w:tcPr>
            <w:tcMar>
              <w:top w:type="dxa" w:w="50"/>
              <w:left w:type="dxa" w:w="100"/>
              <w:bottom w:type="dxa" w:w="50"/>
              <w:right w:type="dxa" w:w="100"/>
            </w:tcMar>
          </w:tcPr>
          <w:p>
            <w:r>
              <w:rPr>
                <w:rFonts w:ascii="Times New Roman"/>
                <w:color w:val="1A1A1A"/>
                <w:sz w:val="20"/>
                <w:szCs w:val="20"/>
              </w:rPr>
              <w:t xml:space="preserve">Active retail traders</w:t>
            </w:r>
          </w:p>
        </w:tc>
        <w:tc>
          <w:tcPr>
            <w:tcMar>
              <w:top w:type="dxa" w:w="50"/>
              <w:left w:type="dxa" w:w="100"/>
              <w:bottom w:type="dxa" w:w="50"/>
              <w:right w:type="dxa" w:w="100"/>
            </w:tcMar>
          </w:tcPr>
          <w:p>
            <w:r>
              <w:rPr>
                <w:rFonts w:ascii="Times New Roman"/>
                <w:color w:val="1A1A1A"/>
                <w:sz w:val="20"/>
                <w:szCs w:val="20"/>
              </w:rPr>
              <w:t xml:space="preserve">Margin, futures, API, staking, earn</w:t>
            </w:r>
          </w:p>
        </w:tc>
        <w:tc>
          <w:tcPr>
            <w:tcMar>
              <w:top w:type="dxa" w:w="50"/>
              <w:left w:type="dxa" w:w="100"/>
              <w:bottom w:type="dxa" w:w="50"/>
              <w:right w:type="dxa" w:w="100"/>
            </w:tcMar>
          </w:tcPr>
          <w:p>
            <w:r>
              <w:rPr>
                <w:rFonts w:ascii="Times New Roman"/>
                <w:color w:val="1A1A1A"/>
                <w:sz w:val="20"/>
                <w:szCs w:val="20"/>
              </w:rPr>
              <w:t xml:space="preserve">KYC Level 2</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Institutional</w:t>
            </w:r>
          </w:p>
        </w:tc>
        <w:tc>
          <w:tcPr>
            <w:shd w:fill="EDF3F5" w:val="clear"/>
            <w:tcMar>
              <w:top w:type="dxa" w:w="50"/>
              <w:left w:type="dxa" w:w="100"/>
              <w:bottom w:type="dxa" w:w="50"/>
              <w:right w:type="dxa" w:w="100"/>
            </w:tcMar>
          </w:tcPr>
          <w:p>
            <w:r>
              <w:rPr>
                <w:rFonts w:ascii="Times New Roman"/>
                <w:color w:val="1A1A1A"/>
                <w:sz w:val="20"/>
                <w:szCs w:val="20"/>
              </w:rPr>
              <w:t xml:space="preserve">Funds, banks, corporations</w:t>
            </w:r>
          </w:p>
        </w:tc>
        <w:tc>
          <w:tcPr>
            <w:shd w:fill="EDF3F5" w:val="clear"/>
            <w:tcMar>
              <w:top w:type="dxa" w:w="50"/>
              <w:left w:type="dxa" w:w="100"/>
              <w:bottom w:type="dxa" w:w="50"/>
              <w:right w:type="dxa" w:w="100"/>
            </w:tcMar>
          </w:tcPr>
          <w:p>
            <w:r>
              <w:rPr>
                <w:rFonts w:ascii="Times New Roman"/>
                <w:color w:val="1A1A1A"/>
                <w:sz w:val="20"/>
                <w:szCs w:val="20"/>
              </w:rPr>
              <w:t xml:space="preserve">OTC desk, FIX API, custody, high limits</w:t>
            </w:r>
          </w:p>
        </w:tc>
        <w:tc>
          <w:tcPr>
            <w:shd w:fill="EDF3F5" w:val="clear"/>
            <w:tcMar>
              <w:top w:type="dxa" w:w="50"/>
              <w:left w:type="dxa" w:w="100"/>
              <w:bottom w:type="dxa" w:w="50"/>
              <w:right w:type="dxa" w:w="100"/>
            </w:tcMar>
          </w:tcPr>
          <w:p>
            <w:r>
              <w:rPr>
                <w:rFonts w:ascii="Times New Roman"/>
                <w:color w:val="1A1A1A"/>
                <w:sz w:val="20"/>
                <w:szCs w:val="20"/>
              </w:rPr>
              <w:t xml:space="preserve">KYC Level 3 + KYB</w:t>
            </w:r>
          </w:p>
        </w:tc>
      </w:tr>
      <w:tr>
        <w:trPr>
          <w:cantSplit/>
        </w:trPr>
        <w:tc>
          <w:tcPr>
            <w:tcMar>
              <w:top w:type="dxa" w:w="50"/>
              <w:left w:type="dxa" w:w="100"/>
              <w:bottom w:type="dxa" w:w="50"/>
              <w:right w:type="dxa" w:w="100"/>
            </w:tcMar>
          </w:tcPr>
          <w:p>
            <w:r>
              <w:rPr>
                <w:rFonts w:ascii="Times New Roman"/>
                <w:color w:val="1A1A1A"/>
                <w:sz w:val="20"/>
                <w:szCs w:val="20"/>
              </w:rPr>
              <w:t xml:space="preserve">VIP / Whale</w:t>
            </w:r>
          </w:p>
        </w:tc>
        <w:tc>
          <w:tcPr>
            <w:tcMar>
              <w:top w:type="dxa" w:w="50"/>
              <w:left w:type="dxa" w:w="100"/>
              <w:bottom w:type="dxa" w:w="50"/>
              <w:right w:type="dxa" w:w="100"/>
            </w:tcMar>
          </w:tcPr>
          <w:p>
            <w:r>
              <w:rPr>
                <w:rFonts w:ascii="Times New Roman"/>
                <w:color w:val="1A1A1A"/>
                <w:sz w:val="20"/>
                <w:szCs w:val="20"/>
              </w:rPr>
              <w:t xml:space="preserve">High-net-worth individuals</w:t>
            </w:r>
          </w:p>
        </w:tc>
        <w:tc>
          <w:tcPr>
            <w:tcMar>
              <w:top w:type="dxa" w:w="50"/>
              <w:left w:type="dxa" w:w="100"/>
              <w:bottom w:type="dxa" w:w="50"/>
              <w:right w:type="dxa" w:w="100"/>
            </w:tcMar>
          </w:tcPr>
          <w:p>
            <w:r>
              <w:rPr>
                <w:rFonts w:ascii="Times New Roman"/>
                <w:color w:val="1A1A1A"/>
                <w:sz w:val="20"/>
                <w:szCs w:val="20"/>
              </w:rPr>
              <w:t xml:space="preserve">Dedicated account manager, low fees</w:t>
            </w:r>
          </w:p>
        </w:tc>
        <w:tc>
          <w:tcPr>
            <w:tcMar>
              <w:top w:type="dxa" w:w="50"/>
              <w:left w:type="dxa" w:w="100"/>
              <w:bottom w:type="dxa" w:w="50"/>
              <w:right w:type="dxa" w:w="100"/>
            </w:tcMar>
          </w:tcPr>
          <w:p>
            <w:r>
              <w:rPr>
                <w:rFonts w:ascii="Times New Roman"/>
                <w:color w:val="1A1A1A"/>
                <w:sz w:val="20"/>
                <w:szCs w:val="20"/>
              </w:rPr>
              <w:t xml:space="preserve">KYC Level 3</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Market Maker</w:t>
            </w:r>
          </w:p>
        </w:tc>
        <w:tc>
          <w:tcPr>
            <w:shd w:fill="EDF3F5" w:val="clear"/>
            <w:tcMar>
              <w:top w:type="dxa" w:w="50"/>
              <w:left w:type="dxa" w:w="100"/>
              <w:bottom w:type="dxa" w:w="50"/>
              <w:right w:type="dxa" w:w="100"/>
            </w:tcMar>
          </w:tcPr>
          <w:p>
            <w:r>
              <w:rPr>
                <w:rFonts w:ascii="Times New Roman"/>
                <w:color w:val="1A1A1A"/>
                <w:sz w:val="20"/>
                <w:szCs w:val="20"/>
              </w:rPr>
              <w:t xml:space="preserve">Liquidity providers</w:t>
            </w:r>
          </w:p>
        </w:tc>
        <w:tc>
          <w:tcPr>
            <w:shd w:fill="EDF3F5" w:val="clear"/>
            <w:tcMar>
              <w:top w:type="dxa" w:w="50"/>
              <w:left w:type="dxa" w:w="100"/>
              <w:bottom w:type="dxa" w:w="50"/>
              <w:right w:type="dxa" w:w="100"/>
            </w:tcMar>
          </w:tcPr>
          <w:p>
            <w:r>
              <w:rPr>
                <w:rFonts w:ascii="Times New Roman"/>
                <w:color w:val="1A1A1A"/>
                <w:sz w:val="20"/>
                <w:szCs w:val="20"/>
              </w:rPr>
              <w:t xml:space="preserve">Rebated fees, direct market access</w:t>
            </w:r>
          </w:p>
        </w:tc>
        <w:tc>
          <w:tcPr>
            <w:shd w:fill="EDF3F5" w:val="clear"/>
            <w:tcMar>
              <w:top w:type="dxa" w:w="50"/>
              <w:left w:type="dxa" w:w="100"/>
              <w:bottom w:type="dxa" w:w="50"/>
              <w:right w:type="dxa" w:w="100"/>
            </w:tcMar>
          </w:tcPr>
          <w:p>
            <w:r>
              <w:rPr>
                <w:rFonts w:ascii="Times New Roman"/>
                <w:color w:val="1A1A1A"/>
                <w:sz w:val="20"/>
                <w:szCs w:val="20"/>
              </w:rPr>
              <w:t xml:space="preserve">KYB + Agreement</w:t>
            </w:r>
          </w:p>
        </w:tc>
      </w:tr>
      <w:tr>
        <w:trPr>
          <w:cantSplit/>
        </w:trPr>
        <w:tc>
          <w:tcPr>
            <w:tcMar>
              <w:top w:type="dxa" w:w="50"/>
              <w:left w:type="dxa" w:w="100"/>
              <w:bottom w:type="dxa" w:w="50"/>
              <w:right w:type="dxa" w:w="100"/>
            </w:tcMar>
          </w:tcPr>
          <w:p>
            <w:r>
              <w:rPr>
                <w:rFonts w:ascii="Times New Roman"/>
                <w:color w:val="1A1A1A"/>
                <w:sz w:val="20"/>
                <w:szCs w:val="20"/>
              </w:rPr>
              <w:t xml:space="preserve">Merchant</w:t>
            </w:r>
          </w:p>
        </w:tc>
        <w:tc>
          <w:tcPr>
            <w:tcMar>
              <w:top w:type="dxa" w:w="50"/>
              <w:left w:type="dxa" w:w="100"/>
              <w:bottom w:type="dxa" w:w="50"/>
              <w:right w:type="dxa" w:w="100"/>
            </w:tcMar>
          </w:tcPr>
          <w:p>
            <w:r>
              <w:rPr>
                <w:rFonts w:ascii="Times New Roman"/>
                <w:color w:val="1A1A1A"/>
                <w:sz w:val="20"/>
                <w:szCs w:val="20"/>
              </w:rPr>
              <w:t xml:space="preserve">P2P sellers / payment processors</w:t>
            </w:r>
          </w:p>
        </w:tc>
        <w:tc>
          <w:tcPr>
            <w:tcMar>
              <w:top w:type="dxa" w:w="50"/>
              <w:left w:type="dxa" w:w="100"/>
              <w:bottom w:type="dxa" w:w="50"/>
              <w:right w:type="dxa" w:w="100"/>
            </w:tcMar>
          </w:tcPr>
          <w:p>
            <w:r>
              <w:rPr>
                <w:rFonts w:ascii="Times New Roman"/>
                <w:color w:val="1A1A1A"/>
                <w:sz w:val="20"/>
                <w:szCs w:val="20"/>
              </w:rPr>
              <w:t xml:space="preserve">P2P merchant tools, API</w:t>
            </w:r>
          </w:p>
        </w:tc>
        <w:tc>
          <w:tcPr>
            <w:tcMar>
              <w:top w:type="dxa" w:w="50"/>
              <w:left w:type="dxa" w:w="100"/>
              <w:bottom w:type="dxa" w:w="50"/>
              <w:right w:type="dxa" w:w="100"/>
            </w:tcMar>
          </w:tcPr>
          <w:p>
            <w:r>
              <w:rPr>
                <w:rFonts w:ascii="Times New Roman"/>
                <w:color w:val="1A1A1A"/>
                <w:sz w:val="20"/>
                <w:szCs w:val="20"/>
              </w:rPr>
              <w:t xml:space="preserve">KYC Level 2 + Merchant KYB</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Affiliate / IB</w:t>
            </w:r>
          </w:p>
        </w:tc>
        <w:tc>
          <w:tcPr>
            <w:shd w:fill="EDF3F5" w:val="clear"/>
            <w:tcMar>
              <w:top w:type="dxa" w:w="50"/>
              <w:left w:type="dxa" w:w="100"/>
              <w:bottom w:type="dxa" w:w="50"/>
              <w:right w:type="dxa" w:w="100"/>
            </w:tcMar>
          </w:tcPr>
          <w:p>
            <w:r>
              <w:rPr>
                <w:rFonts w:ascii="Times New Roman"/>
                <w:color w:val="1A1A1A"/>
                <w:sz w:val="20"/>
                <w:szCs w:val="20"/>
              </w:rPr>
              <w:t xml:space="preserve">Referral partners</w:t>
            </w:r>
          </w:p>
        </w:tc>
        <w:tc>
          <w:tcPr>
            <w:shd w:fill="EDF3F5" w:val="clear"/>
            <w:tcMar>
              <w:top w:type="dxa" w:w="50"/>
              <w:left w:type="dxa" w:w="100"/>
              <w:bottom w:type="dxa" w:w="50"/>
              <w:right w:type="dxa" w:w="100"/>
            </w:tcMar>
          </w:tcPr>
          <w:p>
            <w:r>
              <w:rPr>
                <w:rFonts w:ascii="Times New Roman"/>
                <w:color w:val="1A1A1A"/>
                <w:sz w:val="20"/>
                <w:szCs w:val="20"/>
              </w:rPr>
              <w:t xml:space="preserve">Referral dashboard, commission tracking</w:t>
            </w:r>
          </w:p>
        </w:tc>
        <w:tc>
          <w:tcPr>
            <w:shd w:fill="EDF3F5" w:val="clear"/>
            <w:tcMar>
              <w:top w:type="dxa" w:w="50"/>
              <w:left w:type="dxa" w:w="100"/>
              <w:bottom w:type="dxa" w:w="50"/>
              <w:right w:type="dxa" w:w="100"/>
            </w:tcMar>
          </w:tcPr>
          <w:p>
            <w:r>
              <w:rPr>
                <w:rFonts w:ascii="Times New Roman"/>
                <w:color w:val="1A1A1A"/>
                <w:sz w:val="20"/>
                <w:szCs w:val="20"/>
              </w:rPr>
              <w:t xml:space="preserve">KYC Level 1 + Agreement</w:t>
            </w:r>
          </w:p>
        </w:tc>
      </w:tr>
      <w:tr>
        <w:trPr>
          <w:cantSplit/>
        </w:trPr>
        <w:tc>
          <w:tcPr>
            <w:tcMar>
              <w:top w:type="dxa" w:w="50"/>
              <w:left w:type="dxa" w:w="100"/>
              <w:bottom w:type="dxa" w:w="50"/>
              <w:right w:type="dxa" w:w="100"/>
            </w:tcMar>
          </w:tcPr>
          <w:p>
            <w:r>
              <w:rPr>
                <w:rFonts w:ascii="Times New Roman"/>
                <w:color w:val="1A1A1A"/>
                <w:sz w:val="20"/>
                <w:szCs w:val="20"/>
              </w:rPr>
              <w:t xml:space="preserve">Sandbox / Test</w:t>
            </w:r>
          </w:p>
        </w:tc>
        <w:tc>
          <w:tcPr>
            <w:tcMar>
              <w:top w:type="dxa" w:w="50"/>
              <w:left w:type="dxa" w:w="100"/>
              <w:bottom w:type="dxa" w:w="50"/>
              <w:right w:type="dxa" w:w="100"/>
            </w:tcMar>
          </w:tcPr>
          <w:p>
            <w:r>
              <w:rPr>
                <w:rFonts w:ascii="Times New Roman"/>
                <w:color w:val="1A1A1A"/>
                <w:sz w:val="20"/>
                <w:szCs w:val="20"/>
              </w:rPr>
              <w:t xml:space="preserve">Developers, quants</w:t>
            </w:r>
          </w:p>
        </w:tc>
        <w:tc>
          <w:tcPr>
            <w:tcMar>
              <w:top w:type="dxa" w:w="50"/>
              <w:left w:type="dxa" w:w="100"/>
              <w:bottom w:type="dxa" w:w="50"/>
              <w:right w:type="dxa" w:w="100"/>
            </w:tcMar>
          </w:tcPr>
          <w:p>
            <w:r>
              <w:rPr>
                <w:rFonts w:ascii="Times New Roman"/>
                <w:color w:val="1A1A1A"/>
                <w:sz w:val="20"/>
                <w:szCs w:val="20"/>
              </w:rPr>
              <w:t xml:space="preserve">Testnet trading, paper trading, API testing</w:t>
            </w:r>
          </w:p>
        </w:tc>
        <w:tc>
          <w:tcPr>
            <w:tcMar>
              <w:top w:type="dxa" w:w="50"/>
              <w:left w:type="dxa" w:w="100"/>
              <w:bottom w:type="dxa" w:w="50"/>
              <w:right w:type="dxa" w:w="100"/>
            </w:tcMar>
          </w:tcPr>
          <w:p>
            <w:r>
              <w:rPr>
                <w:rFonts w:ascii="Times New Roman"/>
                <w:color w:val="1A1A1A"/>
                <w:sz w:val="20"/>
                <w:szCs w:val="20"/>
              </w:rPr>
              <w:t xml:space="preserve">Email verification</w:t>
            </w:r>
          </w:p>
        </w:tc>
      </w:tr>
    </w:tbl>
    <w:p>
      <w:pPr>
        <w:spacing w:after="60" w:before="60"/>
      </w:pPr>
    </w:p>
    <w:p>
      <w:pPr>
        <w:pStyle w:val="Heading2"/>
        <w:spacing w:after="160" w:before="360" w:line="312"/>
      </w:pPr>
      <w:bookmarkStart w:id="100004" w:name="_Toc100004"/>
      <w:r>
        <w:rPr>
          <w:rFonts w:ascii="Times New Roman"/>
          <w:b/>
          <w:bCs/>
          <w:color w:val="0F2027"/>
          <w:sz w:val="30"/>
          <w:szCs w:val="30"/>
        </w:rPr>
        <w:t xml:space="preserve">1.4 Market Positioning</w:t>
      </w:r>
      <w:bookmarkEnd w:id="100004"/>
    </w:p>
    <w:p>
      <w:pPr>
        <w:spacing w:after="120" w:line="312"/>
        <w:jc w:val="both"/>
      </w:pPr>
      <w:r>
        <w:rPr>
          <w:rFonts w:ascii="Times New Roman"/>
          <w:color w:val="1A1A1A"/>
          <w:sz w:val="22"/>
          <w:szCs w:val="22"/>
        </w:rPr>
        <w:t xml:space="preserve">The exchange will position itself as a global Tier-1 platform competing across all major metrics: trading volume, liquidity depth, number of listed assets, geographic coverage, and feature completeness. The target market positioning places the platform in the top 5 exchanges globally by trading volume within 18 months of launch, and top 3 within 36 months. Competitive advantages will include ultra-low latency matching (sub-microsecond), the broadest asset coverage, superior mobile applications, enterprise-grade API infrastructure, and a regulatory-first approach that enables operations in jurisdictions where competitors face restrictions.</w:t>
      </w:r>
    </w:p>
    <w:p>
      <w:pPr>
        <w:spacing w:after="120" w:line="312"/>
        <w:jc w:val="both"/>
      </w:pPr>
      <w:r>
        <w:rPr>
          <w:rFonts w:ascii="Times New Roman"/>
          <w:color w:val="1A1A1A"/>
          <w:sz w:val="22"/>
          <w:szCs w:val="22"/>
        </w:rPr>
        <w:t xml:space="preserve">Geographic expansion will follow a phased approach: Phase 1 will target the Asia-Pacific region (Singapore, Japan, South Korea, Australia, Southeast Asia), Phase 2 will expand to Europe (EU MiCA-compliant operations, UK, Switzerland), Phase 3 will cover the Americas (USA SEC/CFTC regulated entity, Canada, Brazil, Mexico), Phase 4 will address the Middle East and Africa (UAE, Saudi Arabia, Nigeria, South Africa), and Phase 5 will pursue remaining emerging markets. Each region will have localized operations including local banking partnerships, local language support, and regional compliance teams.</w:t>
      </w:r>
    </w:p>
    <w:p>
      <w:pPr>
        <w:pStyle w:val="Heading2"/>
        <w:spacing w:after="160" w:before="360" w:line="312"/>
      </w:pPr>
      <w:bookmarkStart w:id="100005" w:name="_Toc100005"/>
      <w:r>
        <w:rPr>
          <w:rFonts w:ascii="Times New Roman"/>
          <w:b/>
          <w:bCs/>
          <w:color w:val="0F2027"/>
          <w:sz w:val="30"/>
          <w:szCs w:val="30"/>
        </w:rPr>
        <w:t xml:space="preserve">1.5 Revenue Model</w:t>
      </w:r>
      <w:bookmarkEnd w:id="100005"/>
    </w:p>
    <w:p>
      <w:pPr>
        <w:keepNext/>
        <w:spacing w:after="80" w:before="200" w:line="312"/>
      </w:pPr>
      <w:r>
        <w:rPr>
          <w:rFonts w:ascii="Times New Roman"/>
          <w:b/>
          <w:bCs/>
          <w:i/>
          <w:iCs/>
          <w:color w:val="4A6575"/>
          <w:sz w:val="20"/>
          <w:szCs w:val="20"/>
        </w:rPr>
        <w:t xml:space="preserve">Table 1.2: Revenue Streams and Projections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Revenue Stream</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Model</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Target Contribution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Notes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Spot Trading Fees</w:t>
            </w:r>
          </w:p>
        </w:tc>
        <w:tc>
          <w:tcPr>
            <w:shd w:fill="EDF3F5" w:val="clear"/>
            <w:tcMar>
              <w:top w:type="dxa" w:w="50"/>
              <w:left w:type="dxa" w:w="100"/>
              <w:bottom w:type="dxa" w:w="50"/>
              <w:right w:type="dxa" w:w="100"/>
            </w:tcMar>
          </w:tcPr>
          <w:p>
            <w:r>
              <w:rPr>
                <w:rFonts w:ascii="Times New Roman"/>
                <w:color w:val="1A1A1A"/>
                <w:sz w:val="20"/>
                <w:szCs w:val="20"/>
              </w:rPr>
              <w:t xml:space="preserve">Maker/Taker (0.02%/0.04% base)</w:t>
            </w:r>
          </w:p>
        </w:tc>
        <w:tc>
          <w:tcPr>
            <w:shd w:fill="EDF3F5" w:val="clear"/>
            <w:tcMar>
              <w:top w:type="dxa" w:w="50"/>
              <w:left w:type="dxa" w:w="100"/>
              <w:bottom w:type="dxa" w:w="50"/>
              <w:right w:type="dxa" w:w="100"/>
            </w:tcMar>
          </w:tcPr>
          <w:p>
            <w:r>
              <w:rPr>
                <w:rFonts w:ascii="Times New Roman"/>
                <w:color w:val="1A1A1A"/>
                <w:sz w:val="20"/>
                <w:szCs w:val="20"/>
              </w:rPr>
              <w:t xml:space="preserve">40%</w:t>
            </w:r>
          </w:p>
        </w:tc>
        <w:tc>
          <w:tcPr>
            <w:shd w:fill="EDF3F5" w:val="clear"/>
            <w:tcMar>
              <w:top w:type="dxa" w:w="50"/>
              <w:left w:type="dxa" w:w="100"/>
              <w:bottom w:type="dxa" w:w="50"/>
              <w:right w:type="dxa" w:w="100"/>
            </w:tcMar>
          </w:tcPr>
          <w:p>
            <w:r>
              <w:rPr>
                <w:rFonts w:ascii="Times New Roman"/>
                <w:color w:val="1A1A1A"/>
                <w:sz w:val="20"/>
                <w:szCs w:val="20"/>
              </w:rPr>
              <w:t xml:space="preserve">Volume-based VIP discounts</w:t>
            </w:r>
          </w:p>
        </w:tc>
      </w:tr>
      <w:tr>
        <w:trPr>
          <w:cantSplit/>
        </w:trPr>
        <w:tc>
          <w:tcPr>
            <w:tcMar>
              <w:top w:type="dxa" w:w="50"/>
              <w:left w:type="dxa" w:w="100"/>
              <w:bottom w:type="dxa" w:w="50"/>
              <w:right w:type="dxa" w:w="100"/>
            </w:tcMar>
          </w:tcPr>
          <w:p>
            <w:r>
              <w:rPr>
                <w:rFonts w:ascii="Times New Roman"/>
                <w:color w:val="1A1A1A"/>
                <w:sz w:val="20"/>
                <w:szCs w:val="20"/>
              </w:rPr>
              <w:t xml:space="preserve">Margin/Futures Fees</w:t>
            </w:r>
          </w:p>
        </w:tc>
        <w:tc>
          <w:tcPr>
            <w:tcMar>
              <w:top w:type="dxa" w:w="50"/>
              <w:left w:type="dxa" w:w="100"/>
              <w:bottom w:type="dxa" w:w="50"/>
              <w:right w:type="dxa" w:w="100"/>
            </w:tcMar>
          </w:tcPr>
          <w:p>
            <w:r>
              <w:rPr>
                <w:rFonts w:ascii="Times New Roman"/>
                <w:color w:val="1A1A1A"/>
                <w:sz w:val="20"/>
                <w:szCs w:val="20"/>
              </w:rPr>
              <w:t xml:space="preserve">Maker/Taker (0.01%/0.03%)</w:t>
            </w:r>
          </w:p>
        </w:tc>
        <w:tc>
          <w:tcPr>
            <w:tcMar>
              <w:top w:type="dxa" w:w="50"/>
              <w:left w:type="dxa" w:w="100"/>
              <w:bottom w:type="dxa" w:w="50"/>
              <w:right w:type="dxa" w:w="100"/>
            </w:tcMar>
          </w:tcPr>
          <w:p>
            <w:r>
              <w:rPr>
                <w:rFonts w:ascii="Times New Roman"/>
                <w:color w:val="1A1A1A"/>
                <w:sz w:val="20"/>
                <w:szCs w:val="20"/>
              </w:rPr>
              <w:t xml:space="preserve">25%</w:t>
            </w:r>
          </w:p>
        </w:tc>
        <w:tc>
          <w:tcPr>
            <w:tcMar>
              <w:top w:type="dxa" w:w="50"/>
              <w:left w:type="dxa" w:w="100"/>
              <w:bottom w:type="dxa" w:w="50"/>
              <w:right w:type="dxa" w:w="100"/>
            </w:tcMar>
          </w:tcPr>
          <w:p>
            <w:r>
              <w:rPr>
                <w:rFonts w:ascii="Times New Roman"/>
                <w:color w:val="1A1A1A"/>
                <w:sz w:val="20"/>
                <w:szCs w:val="20"/>
              </w:rPr>
              <w:t xml:space="preserve">Higher leverage = higher volume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Withdrawal Fees</w:t>
            </w:r>
          </w:p>
        </w:tc>
        <w:tc>
          <w:tcPr>
            <w:shd w:fill="EDF3F5" w:val="clear"/>
            <w:tcMar>
              <w:top w:type="dxa" w:w="50"/>
              <w:left w:type="dxa" w:w="100"/>
              <w:bottom w:type="dxa" w:w="50"/>
              <w:right w:type="dxa" w:w="100"/>
            </w:tcMar>
          </w:tcPr>
          <w:p>
            <w:r>
              <w:rPr>
                <w:rFonts w:ascii="Times New Roman"/>
                <w:color w:val="1A1A1A"/>
                <w:sz w:val="20"/>
                <w:szCs w:val="20"/>
              </w:rPr>
              <w:t xml:space="preserve">Per-transaction flat fee</w:t>
            </w:r>
          </w:p>
        </w:tc>
        <w:tc>
          <w:tcPr>
            <w:shd w:fill="EDF3F5" w:val="clear"/>
            <w:tcMar>
              <w:top w:type="dxa" w:w="50"/>
              <w:left w:type="dxa" w:w="100"/>
              <w:bottom w:type="dxa" w:w="50"/>
              <w:right w:type="dxa" w:w="100"/>
            </w:tcMar>
          </w:tcPr>
          <w:p>
            <w:r>
              <w:rPr>
                <w:rFonts w:ascii="Times New Roman"/>
                <w:color w:val="1A1A1A"/>
                <w:sz w:val="20"/>
                <w:szCs w:val="20"/>
              </w:rPr>
              <w:t xml:space="preserve">5%</w:t>
            </w:r>
          </w:p>
        </w:tc>
        <w:tc>
          <w:tcPr>
            <w:shd w:fill="EDF3F5" w:val="clear"/>
            <w:tcMar>
              <w:top w:type="dxa" w:w="50"/>
              <w:left w:type="dxa" w:w="100"/>
              <w:bottom w:type="dxa" w:w="50"/>
              <w:right w:type="dxa" w:w="100"/>
            </w:tcMar>
          </w:tcPr>
          <w:p>
            <w:r>
              <w:rPr>
                <w:rFonts w:ascii="Times New Roman"/>
                <w:color w:val="1A1A1A"/>
                <w:sz w:val="20"/>
                <w:szCs w:val="20"/>
              </w:rPr>
              <w:t xml:space="preserve">Dynamic based on network congestion</w:t>
            </w:r>
          </w:p>
        </w:tc>
      </w:tr>
      <w:tr>
        <w:trPr>
          <w:cantSplit/>
        </w:trPr>
        <w:tc>
          <w:tcPr>
            <w:tcMar>
              <w:top w:type="dxa" w:w="50"/>
              <w:left w:type="dxa" w:w="100"/>
              <w:bottom w:type="dxa" w:w="50"/>
              <w:right w:type="dxa" w:w="100"/>
            </w:tcMar>
          </w:tcPr>
          <w:p>
            <w:r>
              <w:rPr>
                <w:rFonts w:ascii="Times New Roman"/>
                <w:color w:val="1A1A1A"/>
                <w:sz w:val="20"/>
                <w:szCs w:val="20"/>
              </w:rPr>
              <w:t xml:space="preserve">Listing Fees</w:t>
            </w:r>
          </w:p>
        </w:tc>
        <w:tc>
          <w:tcPr>
            <w:tcMar>
              <w:top w:type="dxa" w:w="50"/>
              <w:left w:type="dxa" w:w="100"/>
              <w:bottom w:type="dxa" w:w="50"/>
              <w:right w:type="dxa" w:w="100"/>
            </w:tcMar>
          </w:tcPr>
          <w:p>
            <w:r>
              <w:rPr>
                <w:rFonts w:ascii="Times New Roman"/>
                <w:color w:val="1A1A1A"/>
                <w:sz w:val="20"/>
                <w:szCs w:val="20"/>
              </w:rPr>
              <w:t xml:space="preserve">Per-token listing + review</w:t>
            </w:r>
          </w:p>
        </w:tc>
        <w:tc>
          <w:tcPr>
            <w:tcMar>
              <w:top w:type="dxa" w:w="50"/>
              <w:left w:type="dxa" w:w="100"/>
              <w:bottom w:type="dxa" w:w="50"/>
              <w:right w:type="dxa" w:w="100"/>
            </w:tcMar>
          </w:tcPr>
          <w:p>
            <w:r>
              <w:rPr>
                <w:rFonts w:ascii="Times New Roman"/>
                <w:color w:val="1A1A1A"/>
                <w:sz w:val="20"/>
                <w:szCs w:val="20"/>
              </w:rPr>
              <w:t xml:space="preserve">5%</w:t>
            </w:r>
          </w:p>
        </w:tc>
        <w:tc>
          <w:tcPr>
            <w:tcMar>
              <w:top w:type="dxa" w:w="50"/>
              <w:left w:type="dxa" w:w="100"/>
              <w:bottom w:type="dxa" w:w="50"/>
              <w:right w:type="dxa" w:w="100"/>
            </w:tcMar>
          </w:tcPr>
          <w:p>
            <w:r>
              <w:rPr>
                <w:rFonts w:ascii="Times New Roman"/>
                <w:color w:val="1A1A1A"/>
                <w:sz w:val="20"/>
                <w:szCs w:val="20"/>
              </w:rPr>
              <w:t xml:space="preserve">Due diligence + compliance review</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Margin Interest</w:t>
            </w:r>
          </w:p>
        </w:tc>
        <w:tc>
          <w:tcPr>
            <w:shd w:fill="EDF3F5" w:val="clear"/>
            <w:tcMar>
              <w:top w:type="dxa" w:w="50"/>
              <w:left w:type="dxa" w:w="100"/>
              <w:bottom w:type="dxa" w:w="50"/>
              <w:right w:type="dxa" w:w="100"/>
            </w:tcMar>
          </w:tcPr>
          <w:p>
            <w:r>
              <w:rPr>
                <w:rFonts w:ascii="Times New Roman"/>
                <w:color w:val="1A1A1A"/>
                <w:sz w:val="20"/>
                <w:szCs w:val="20"/>
              </w:rPr>
              <w:t xml:space="preserve">Hourly rate on borrowed margin</w:t>
            </w:r>
          </w:p>
        </w:tc>
        <w:tc>
          <w:tcPr>
            <w:shd w:fill="EDF3F5" w:val="clear"/>
            <w:tcMar>
              <w:top w:type="dxa" w:w="50"/>
              <w:left w:type="dxa" w:w="100"/>
              <w:bottom w:type="dxa" w:w="50"/>
              <w:right w:type="dxa" w:w="100"/>
            </w:tcMar>
          </w:tcPr>
          <w:p>
            <w:r>
              <w:rPr>
                <w:rFonts w:ascii="Times New Roman"/>
                <w:color w:val="1A1A1A"/>
                <w:sz w:val="20"/>
                <w:szCs w:val="20"/>
              </w:rPr>
              <w:t xml:space="preserve">8%</w:t>
            </w:r>
          </w:p>
        </w:tc>
        <w:tc>
          <w:tcPr>
            <w:shd w:fill="EDF3F5" w:val="clear"/>
            <w:tcMar>
              <w:top w:type="dxa" w:w="50"/>
              <w:left w:type="dxa" w:w="100"/>
              <w:bottom w:type="dxa" w:w="50"/>
              <w:right w:type="dxa" w:w="100"/>
            </w:tcMar>
          </w:tcPr>
          <w:p>
            <w:r>
              <w:rPr>
                <w:rFonts w:ascii="Times New Roman"/>
                <w:color w:val="1A1A1A"/>
                <w:sz w:val="20"/>
                <w:szCs w:val="20"/>
              </w:rPr>
              <w:t xml:space="preserve">Variable rates based on demand</w:t>
            </w:r>
          </w:p>
        </w:tc>
      </w:tr>
      <w:tr>
        <w:trPr>
          <w:cantSplit/>
        </w:trPr>
        <w:tc>
          <w:tcPr>
            <w:tcMar>
              <w:top w:type="dxa" w:w="50"/>
              <w:left w:type="dxa" w:w="100"/>
              <w:bottom w:type="dxa" w:w="50"/>
              <w:right w:type="dxa" w:w="100"/>
            </w:tcMar>
          </w:tcPr>
          <w:p>
            <w:r>
              <w:rPr>
                <w:rFonts w:ascii="Times New Roman"/>
                <w:color w:val="1A1A1A"/>
                <w:sz w:val="20"/>
                <w:szCs w:val="20"/>
              </w:rPr>
              <w:t xml:space="preserve">Staking / Earn</w:t>
            </w:r>
          </w:p>
        </w:tc>
        <w:tc>
          <w:tcPr>
            <w:tcMar>
              <w:top w:type="dxa" w:w="50"/>
              <w:left w:type="dxa" w:w="100"/>
              <w:bottom w:type="dxa" w:w="50"/>
              <w:right w:type="dxa" w:w="100"/>
            </w:tcMar>
          </w:tcPr>
          <w:p>
            <w:r>
              <w:rPr>
                <w:rFonts w:ascii="Times New Roman"/>
                <w:color w:val="1A1A1A"/>
                <w:sz w:val="20"/>
                <w:szCs w:val="20"/>
              </w:rPr>
              <w:t xml:space="preserve">Performance fee on yields</w:t>
            </w:r>
          </w:p>
        </w:tc>
        <w:tc>
          <w:tcPr>
            <w:tcMar>
              <w:top w:type="dxa" w:w="50"/>
              <w:left w:type="dxa" w:w="100"/>
              <w:bottom w:type="dxa" w:w="50"/>
              <w:right w:type="dxa" w:w="100"/>
            </w:tcMar>
          </w:tcPr>
          <w:p>
            <w:r>
              <w:rPr>
                <w:rFonts w:ascii="Times New Roman"/>
                <w:color w:val="1A1A1A"/>
                <w:sz w:val="20"/>
                <w:szCs w:val="20"/>
              </w:rPr>
              <w:t xml:space="preserve">7%</w:t>
            </w:r>
          </w:p>
        </w:tc>
        <w:tc>
          <w:tcPr>
            <w:tcMar>
              <w:top w:type="dxa" w:w="50"/>
              <w:left w:type="dxa" w:w="100"/>
              <w:bottom w:type="dxa" w:w="50"/>
              <w:right w:type="dxa" w:w="100"/>
            </w:tcMar>
          </w:tcPr>
          <w:p>
            <w:r>
              <w:rPr>
                <w:rFonts w:ascii="Times New Roman"/>
                <w:color w:val="1A1A1A"/>
                <w:sz w:val="20"/>
                <w:szCs w:val="20"/>
              </w:rPr>
              <w:t xml:space="preserve">10-20% of yield earned</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NFT Marketplace</w:t>
            </w:r>
          </w:p>
        </w:tc>
        <w:tc>
          <w:tcPr>
            <w:shd w:fill="EDF3F5" w:val="clear"/>
            <w:tcMar>
              <w:top w:type="dxa" w:w="50"/>
              <w:left w:type="dxa" w:w="100"/>
              <w:bottom w:type="dxa" w:w="50"/>
              <w:right w:type="dxa" w:w="100"/>
            </w:tcMar>
          </w:tcPr>
          <w:p>
            <w:r>
              <w:rPr>
                <w:rFonts w:ascii="Times New Roman"/>
                <w:color w:val="1A1A1A"/>
                <w:sz w:val="20"/>
                <w:szCs w:val="20"/>
              </w:rPr>
              <w:t xml:space="preserve">2.5% transaction fee + royalties</w:t>
            </w:r>
          </w:p>
        </w:tc>
        <w:tc>
          <w:tcPr>
            <w:shd w:fill="EDF3F5" w:val="clear"/>
            <w:tcMar>
              <w:top w:type="dxa" w:w="50"/>
              <w:left w:type="dxa" w:w="100"/>
              <w:bottom w:type="dxa" w:w="50"/>
              <w:right w:type="dxa" w:w="100"/>
            </w:tcMar>
          </w:tcPr>
          <w:p>
            <w:r>
              <w:rPr>
                <w:rFonts w:ascii="Times New Roman"/>
                <w:color w:val="1A1A1A"/>
                <w:sz w:val="20"/>
                <w:szCs w:val="20"/>
              </w:rPr>
              <w:t xml:space="preserve">3%</w:t>
            </w:r>
          </w:p>
        </w:tc>
        <w:tc>
          <w:tcPr>
            <w:shd w:fill="EDF3F5" w:val="clear"/>
            <w:tcMar>
              <w:top w:type="dxa" w:w="50"/>
              <w:left w:type="dxa" w:w="100"/>
              <w:bottom w:type="dxa" w:w="50"/>
              <w:right w:type="dxa" w:w="100"/>
            </w:tcMar>
          </w:tcPr>
          <w:p>
            <w:r>
              <w:rPr>
                <w:rFonts w:ascii="Times New Roman"/>
                <w:color w:val="1A1A1A"/>
                <w:sz w:val="20"/>
                <w:szCs w:val="20"/>
              </w:rPr>
              <w:t xml:space="preserve">Creator royalties configurable</w:t>
            </w:r>
          </w:p>
        </w:tc>
      </w:tr>
      <w:tr>
        <w:trPr>
          <w:cantSplit/>
        </w:trPr>
        <w:tc>
          <w:tcPr>
            <w:tcMar>
              <w:top w:type="dxa" w:w="50"/>
              <w:left w:type="dxa" w:w="100"/>
              <w:bottom w:type="dxa" w:w="50"/>
              <w:right w:type="dxa" w:w="100"/>
            </w:tcMar>
          </w:tcPr>
          <w:p>
            <w:r>
              <w:rPr>
                <w:rFonts w:ascii="Times New Roman"/>
                <w:color w:val="1A1A1A"/>
                <w:sz w:val="20"/>
                <w:szCs w:val="20"/>
              </w:rPr>
              <w:t xml:space="preserve">API Premium Tiers</w:t>
            </w:r>
          </w:p>
        </w:tc>
        <w:tc>
          <w:tcPr>
            <w:tcMar>
              <w:top w:type="dxa" w:w="50"/>
              <w:left w:type="dxa" w:w="100"/>
              <w:bottom w:type="dxa" w:w="50"/>
              <w:right w:type="dxa" w:w="100"/>
            </w:tcMar>
          </w:tcPr>
          <w:p>
            <w:r>
              <w:rPr>
                <w:rFonts w:ascii="Times New Roman"/>
                <w:color w:val="1A1A1A"/>
                <w:sz w:val="20"/>
                <w:szCs w:val="20"/>
              </w:rPr>
              <w:t xml:space="preserve">Subscription model</w:t>
            </w:r>
          </w:p>
        </w:tc>
        <w:tc>
          <w:tcPr>
            <w:tcMar>
              <w:top w:type="dxa" w:w="50"/>
              <w:left w:type="dxa" w:w="100"/>
              <w:bottom w:type="dxa" w:w="50"/>
              <w:right w:type="dxa" w:w="100"/>
            </w:tcMar>
          </w:tcPr>
          <w:p>
            <w:r>
              <w:rPr>
                <w:rFonts w:ascii="Times New Roman"/>
                <w:color w:val="1A1A1A"/>
                <w:sz w:val="20"/>
                <w:szCs w:val="20"/>
              </w:rPr>
              <w:t xml:space="preserve">2%</w:t>
            </w:r>
          </w:p>
        </w:tc>
        <w:tc>
          <w:tcPr>
            <w:tcMar>
              <w:top w:type="dxa" w:w="50"/>
              <w:left w:type="dxa" w:w="100"/>
              <w:bottom w:type="dxa" w:w="50"/>
              <w:right w:type="dxa" w:w="100"/>
            </w:tcMar>
          </w:tcPr>
          <w:p>
            <w:r>
              <w:rPr>
                <w:rFonts w:ascii="Times New Roman"/>
                <w:color w:val="1A1A1A"/>
                <w:sz w:val="20"/>
                <w:szCs w:val="20"/>
              </w:rPr>
              <w:t xml:space="preserve">Institutional data feeds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OTC Desk</w:t>
            </w:r>
          </w:p>
        </w:tc>
        <w:tc>
          <w:tcPr>
            <w:shd w:fill="EDF3F5" w:val="clear"/>
            <w:tcMar>
              <w:top w:type="dxa" w:w="50"/>
              <w:left w:type="dxa" w:w="100"/>
              <w:bottom w:type="dxa" w:w="50"/>
              <w:right w:type="dxa" w:w="100"/>
            </w:tcMar>
          </w:tcPr>
          <w:p>
            <w:r>
              <w:rPr>
                <w:rFonts w:ascii="Times New Roman"/>
                <w:color w:val="1A1A1A"/>
                <w:sz w:val="20"/>
                <w:szCs w:val="20"/>
              </w:rPr>
              <w:t xml:space="preserve">Spread-based commission</w:t>
            </w:r>
          </w:p>
        </w:tc>
        <w:tc>
          <w:tcPr>
            <w:shd w:fill="EDF3F5" w:val="clear"/>
            <w:tcMar>
              <w:top w:type="dxa" w:w="50"/>
              <w:left w:type="dxa" w:w="100"/>
              <w:bottom w:type="dxa" w:w="50"/>
              <w:right w:type="dxa" w:w="100"/>
            </w:tcMar>
          </w:tcPr>
          <w:p>
            <w:r>
              <w:rPr>
                <w:rFonts w:ascii="Times New Roman"/>
                <w:color w:val="1A1A1A"/>
                <w:sz w:val="20"/>
                <w:szCs w:val="20"/>
              </w:rPr>
              <w:t xml:space="preserve">3%</w:t>
            </w:r>
          </w:p>
        </w:tc>
        <w:tc>
          <w:tcPr>
            <w:shd w:fill="EDF3F5" w:val="clear"/>
            <w:tcMar>
              <w:top w:type="dxa" w:w="50"/>
              <w:left w:type="dxa" w:w="100"/>
              <w:bottom w:type="dxa" w:w="50"/>
              <w:right w:type="dxa" w:w="100"/>
            </w:tcMar>
          </w:tcPr>
          <w:p>
            <w:r>
              <w:rPr>
                <w:rFonts w:ascii="Times New Roman"/>
                <w:color w:val="1A1A1A"/>
                <w:sz w:val="20"/>
                <w:szCs w:val="20"/>
              </w:rPr>
              <w:t xml:space="preserve">Block trades for institutions</w:t>
            </w:r>
          </w:p>
        </w:tc>
      </w:tr>
      <w:tr>
        <w:trPr>
          <w:cantSplit/>
        </w:trPr>
        <w:tc>
          <w:tcPr>
            <w:tcMar>
              <w:top w:type="dxa" w:w="50"/>
              <w:left w:type="dxa" w:w="100"/>
              <w:bottom w:type="dxa" w:w="50"/>
              <w:right w:type="dxa" w:w="100"/>
            </w:tcMar>
          </w:tcPr>
          <w:p>
            <w:r>
              <w:rPr>
                <w:rFonts w:ascii="Times New Roman"/>
                <w:color w:val="1A1A1A"/>
                <w:sz w:val="20"/>
                <w:szCs w:val="20"/>
              </w:rPr>
              <w:t xml:space="preserve">B2B Services</w:t>
            </w:r>
          </w:p>
        </w:tc>
        <w:tc>
          <w:tcPr>
            <w:tcMar>
              <w:top w:type="dxa" w:w="50"/>
              <w:left w:type="dxa" w:w="100"/>
              <w:bottom w:type="dxa" w:w="50"/>
              <w:right w:type="dxa" w:w="100"/>
            </w:tcMar>
          </w:tcPr>
          <w:p>
            <w:r>
              <w:rPr>
                <w:rFonts w:ascii="Times New Roman"/>
                <w:color w:val="1A1A1A"/>
                <w:sz w:val="20"/>
                <w:szCs w:val="20"/>
              </w:rPr>
              <w:t xml:space="preserve">White-label, custody fees</w:t>
            </w:r>
          </w:p>
        </w:tc>
        <w:tc>
          <w:tcPr>
            <w:tcMar>
              <w:top w:type="dxa" w:w="50"/>
              <w:left w:type="dxa" w:w="100"/>
              <w:bottom w:type="dxa" w:w="50"/>
              <w:right w:type="dxa" w:w="100"/>
            </w:tcMar>
          </w:tcPr>
          <w:p>
            <w:r>
              <w:rPr>
                <w:rFonts w:ascii="Times New Roman"/>
                <w:color w:val="1A1A1A"/>
                <w:sz w:val="20"/>
                <w:szCs w:val="20"/>
              </w:rPr>
              <w:t xml:space="preserve">2%</w:t>
            </w:r>
          </w:p>
        </w:tc>
        <w:tc>
          <w:tcPr>
            <w:tcMar>
              <w:top w:type="dxa" w:w="50"/>
              <w:left w:type="dxa" w:w="100"/>
              <w:bottom w:type="dxa" w:w="50"/>
              <w:right w:type="dxa" w:w="100"/>
            </w:tcMar>
          </w:tcPr>
          <w:p>
            <w:r>
              <w:rPr>
                <w:rFonts w:ascii="Times New Roman"/>
                <w:color w:val="1A1A1A"/>
                <w:sz w:val="20"/>
                <w:szCs w:val="20"/>
              </w:rPr>
              <w:t xml:space="preserve">Enterprise contracts</w:t>
            </w:r>
          </w:p>
        </w:tc>
      </w:tr>
    </w:tbl>
    <w:p>
      <w:pPr>
        <w:spacing w:after="60" w:before="60"/>
      </w:pPr>
    </w:p>
    <w:p>
      <w:pPr>
        <w:pStyle w:val="Heading2"/>
        <w:spacing w:after="160" w:before="360" w:line="312"/>
      </w:pPr>
      <w:bookmarkStart w:id="100006" w:name="_Toc100006"/>
      <w:r>
        <w:rPr>
          <w:rFonts w:ascii="Times New Roman"/>
          <w:b/>
          <w:bCs/>
          <w:color w:val="0F2027"/>
          <w:sz w:val="30"/>
          <w:szCs w:val="30"/>
        </w:rPr>
        <w:t xml:space="preserve">1.6 Platform Ecosystem</w:t>
      </w:r>
      <w:bookmarkEnd w:id="100006"/>
    </w:p>
    <w:p>
      <w:pPr>
        <w:spacing w:after="120" w:line="312"/>
        <w:jc w:val="both"/>
      </w:pPr>
      <w:r>
        <w:rPr>
          <w:rFonts w:ascii="Times New Roman"/>
          <w:color w:val="1A1A1A"/>
          <w:sz w:val="22"/>
          <w:szCs w:val="22"/>
        </w:rPr>
        <w:t xml:space="preserve">The exchange will operate as the central node in a broader ecosystem of products and services. This ecosystem includes a dedicated mobile application (iOS and Android), a desktop trading terminal (Windows, macOS, Linux), a web-based trading interface, a public API platform (REST, WebSocket, FIX), a developer portal with SDKs in Python, Java, Go, Rust, and JavaScript, a merchant payment gateway, an institutional custody solution, a research and analytics platform, and a community and social trading network.</w:t>
      </w:r>
    </w:p>
    <w:p>
      <w:pPr>
        <w:spacing w:after="120" w:line="312"/>
        <w:jc w:val="both"/>
      </w:pPr>
      <w:r>
        <w:rPr>
          <w:rFonts w:ascii="Times New Roman"/>
          <w:color w:val="1A1A1A"/>
          <w:sz w:val="22"/>
          <w:szCs w:val="22"/>
        </w:rPr>
        <w:t xml:space="preserve">Each ecosystem component will be designed as an independently deployable microservice communicating through a central event bus. This ensures that failure in one component does not cascade to others and that each product can be scaled, updated, or maintained independently. The ecosystem will also include an internal token that provides fee discounts, governance rights, and access to premium features, creating a self-reinforcing flywheel of user engagement and platform loyalty.</w:t>
      </w:r>
    </w:p>
    <w:p>
      <w:pPr>
        <w:pStyle w:val="Heading1"/>
        <w:spacing w:after="200" w:before="480" w:line="312"/>
      </w:pPr>
      <w:bookmarkStart w:id="100007" w:name="_Toc100007"/>
      <w:r>
        <w:rPr>
          <w:rFonts w:ascii="Times New Roman"/>
          <w:b/>
          <w:bCs/>
          <w:color w:val="0F2027"/>
          <w:sz w:val="36"/>
          <w:szCs w:val="36"/>
        </w:rPr>
        <w:t xml:space="preserve">Section 2: Complete Feature Inventory</w:t>
      </w:r>
      <w:bookmarkEnd w:id="100007"/>
    </w:p>
    <w:p>
      <w:pPr>
        <w:pStyle w:val="Heading2"/>
        <w:spacing w:after="160" w:before="360" w:line="312"/>
      </w:pPr>
      <w:bookmarkStart w:id="100008" w:name="_Toc100008"/>
      <w:r>
        <w:rPr>
          <w:rFonts w:ascii="Times New Roman"/>
          <w:b/>
          <w:bCs/>
          <w:color w:val="0F2027"/>
          <w:sz w:val="30"/>
          <w:szCs w:val="30"/>
        </w:rPr>
        <w:t xml:space="preserve">2.1 User Features</w:t>
      </w:r>
      <w:bookmarkEnd w:id="100008"/>
    </w:p>
    <w:p>
      <w:pPr>
        <w:pStyle w:val="Heading3"/>
        <w:spacing w:after="120" w:before="240" w:line="312"/>
      </w:pPr>
      <w:bookmarkStart w:id="100009" w:name="_Toc100009"/>
      <w:r>
        <w:rPr>
          <w:rFonts w:ascii="Times New Roman"/>
          <w:b/>
          <w:bCs/>
          <w:color w:val="4A6575"/>
          <w:sz w:val="26"/>
          <w:szCs w:val="26"/>
        </w:rPr>
        <w:t xml:space="preserve">2.1.1 Registration and Onboarding</w:t>
      </w:r>
      <w:bookmarkEnd w:id="100009"/>
    </w:p>
    <w:p>
      <w:pPr>
        <w:spacing w:after="120" w:line="312"/>
        <w:jc w:val="both"/>
      </w:pPr>
      <w:r>
        <w:rPr>
          <w:rFonts w:ascii="Times New Roman"/>
          <w:color w:val="1A1A1A"/>
          <w:sz w:val="22"/>
          <w:szCs w:val="22"/>
        </w:rPr>
        <w:t xml:space="preserve">The registration system shall support email, phone number, and social login (Google, Apple, Facebook) as primary methods. Upon initial registration, the system creates a Level 0 account with limited functionality (view-only access to market data, no trading or deposits). The onboarding flow includes email/phone verification through one-time passwords (OTPs) delivered via SMS, email, or authenticator apps. Progressive profiling will be used: users provide additional information incrementally as they attempt to access higher-tier features, minimizing friction during initial sign-up while ensuring compliance requirements are met at each tier.</w:t>
      </w:r>
    </w:p>
    <w:p>
      <w:pPr>
        <w:spacing w:after="120" w:line="312"/>
        <w:jc w:val="both"/>
      </w:pPr>
      <w:r>
        <w:rPr>
          <w:rFonts w:ascii="Times New Roman"/>
          <w:color w:val="1A1A1A"/>
          <w:sz w:val="22"/>
          <w:szCs w:val="22"/>
        </w:rPr>
        <w:t xml:space="preserve">Account recovery supports multiple channels including email reset links, SMS OTP verification, and recovery codes provided during initial setup. Device fingerprinting and behavioral analytics are employed during registration to detect and prevent automated account creation, Sybil attacks, and fraudulent registrations. Rate limiting restricts registration attempts per IP address and per phone number to prevent abuse. A referral code field during registration supports the affiliate system, automatically linking the new account to the referring user.</w:t>
      </w:r>
    </w:p>
    <w:p>
      <w:pPr>
        <w:pStyle w:val="Heading3"/>
        <w:spacing w:after="120" w:before="240" w:line="312"/>
      </w:pPr>
      <w:bookmarkStart w:id="100010" w:name="_Toc100010"/>
      <w:r>
        <w:rPr>
          <w:rFonts w:ascii="Times New Roman"/>
          <w:b/>
          <w:bCs/>
          <w:color w:val="4A6575"/>
          <w:sz w:val="26"/>
          <w:szCs w:val="26"/>
        </w:rPr>
        <w:t xml:space="preserve">2.1.2 Authentication and MFA</w:t>
      </w:r>
      <w:bookmarkEnd w:id="100010"/>
    </w:p>
    <w:p>
      <w:pPr>
        <w:spacing w:after="120" w:line="312"/>
        <w:jc w:val="both"/>
      </w:pPr>
      <w:r>
        <w:rPr>
          <w:rFonts w:ascii="Times New Roman"/>
          <w:color w:val="1A1A1A"/>
          <w:sz w:val="22"/>
          <w:szCs w:val="22"/>
        </w:rPr>
        <w:t xml:space="preserve">Multi-factor authentication (MFA) is mandatory for all accounts performing any financial transaction. The platform supports TOTP-based authenticator apps (Google Authenticator, Authy, 1Password), SMS-based OTP (as a secondary fallback, not primary), hardware security keys (FIDO2/WebAuthn), and biometric authentication (fingerprint, face recognition) through platform-native APIs on mobile devices. Passkey support (Apple Passkeys, Google Passkeys) will be implemented for passwordless authentication, allowing users to log in using device-level biometric verification without entering passwords.</w:t>
      </w:r>
    </w:p>
    <w:p>
      <w:pPr>
        <w:spacing w:after="120" w:line="312"/>
        <w:jc w:val="both"/>
      </w:pPr>
      <w:r>
        <w:rPr>
          <w:rFonts w:ascii="Times New Roman"/>
          <w:color w:val="1A1A1A"/>
          <w:sz w:val="22"/>
          <w:szCs w:val="22"/>
        </w:rPr>
        <w:t xml:space="preserve">The authentication engine implements a risk-adaptive policy: login attempts from new devices, new IP addresses, or unusual geographic locations trigger step-up authentication requiring additional factors. Session management includes device binding, session expiry (configurable from 15 minutes to 30 days), automatic logout on security events, and concurrent session limits. Token-based authentication (JWT) with refresh token rotation prevents token theft and replay attacks. All authentication events are logged to the SIEM system for audit and anomaly detection.</w:t>
      </w:r>
    </w:p>
    <w:p>
      <w:pPr>
        <w:pStyle w:val="Heading3"/>
        <w:spacing w:after="120" w:before="240" w:line="312"/>
      </w:pPr>
      <w:bookmarkStart w:id="100011" w:name="_Toc100011"/>
      <w:r>
        <w:rPr>
          <w:rFonts w:ascii="Times New Roman"/>
          <w:b/>
          <w:bCs/>
          <w:color w:val="4A6575"/>
          <w:sz w:val="26"/>
          <w:szCs w:val="26"/>
        </w:rPr>
        <w:t xml:space="preserve">2.1.3 User Profile and Account Management</w:t>
      </w:r>
      <w:bookmarkEnd w:id="100011"/>
    </w:p>
    <w:p>
      <w:pPr>
        <w:spacing w:after="120" w:line="312"/>
        <w:jc w:val="both"/>
      </w:pPr>
      <w:r>
        <w:rPr>
          <w:rFonts w:ascii="Times New Roman"/>
          <w:color w:val="1A1A1A"/>
          <w:sz w:val="22"/>
          <w:szCs w:val="22"/>
        </w:rPr>
        <w:t xml:space="preserve">User profiles include personal information (name, date of birth, address, nationality), contact information (email, phone), verification status, account tier, fee schedule, referral relationships, and trading preferences. Account management features include password change, email/phone update (with re-verification), address book for withdrawals, API key management, session management (view and terminate active sessions), and account activity logs. Users can set up sub-accounts for different trading strategies, each with independent balances and permissions. Privacy settings allow users to control profile visibility in social features like copy trading leaderboards.</w:t>
      </w:r>
    </w:p>
    <w:p>
      <w:pPr>
        <w:pStyle w:val="Heading3"/>
        <w:spacing w:after="120" w:before="240" w:line="312"/>
      </w:pPr>
      <w:bookmarkStart w:id="100012" w:name="_Toc100012"/>
      <w:r>
        <w:rPr>
          <w:rFonts w:ascii="Times New Roman"/>
          <w:b/>
          <w:bCs/>
          <w:color w:val="4A6575"/>
          <w:sz w:val="26"/>
          <w:szCs w:val="26"/>
        </w:rPr>
        <w:t xml:space="preserve">2.1.4 KYC and Identity Verification</w:t>
      </w:r>
      <w:bookmarkEnd w:id="100012"/>
    </w:p>
    <w:p>
      <w:pPr>
        <w:spacing w:after="120" w:line="312"/>
        <w:jc w:val="both"/>
      </w:pPr>
      <w:r>
        <w:rPr>
          <w:rFonts w:ascii="Times New Roman"/>
          <w:color w:val="1A1A1A"/>
          <w:sz w:val="22"/>
          <w:szCs w:val="22"/>
        </w:rPr>
        <w:t xml:space="preserve">Know Your Customer (KYC) verification is implemented as a multi-level system integrated with third-party identity verification providers (such as Jumio, Onfido, Sumsub, or Veriff). Level 1 (Basic) requires email and phone verification, enabling deposit and spot trading with daily limits of USD 2,000. Level 2 (Standard) requires government-issued photo ID and proof of address, enabling margin trading, futures, and higher withdrawal limits of USD 50,000 daily. Level 3 (Advanced) requires enhanced due diligence including source of funds declaration, face verification video call, and tax identification number, enabling unlimited trading and institutional features.</w:t>
      </w:r>
    </w:p>
    <w:p>
      <w:pPr>
        <w:spacing w:after="120" w:line="312"/>
        <w:jc w:val="both"/>
      </w:pPr>
      <w:r>
        <w:rPr>
          <w:rFonts w:ascii="Times New Roman"/>
          <w:color w:val="1A1A1A"/>
          <w:sz w:val="22"/>
          <w:szCs w:val="22"/>
        </w:rPr>
        <w:t xml:space="preserve">The KYC system implements automated document verification using OCR and AI-powered fraud detection (detecting forged documents, spoofed photos, and identity mismatches). Manual review workflows handle edge cases flagged by the automated system. KYC data is encrypted at rest using AES-256 and stored in compliance with GDPR and local data protection regulations. Cross-referencing with sanctions lists (OFAC, EU, UN) and PEP (Politically Exposed Persons) databases is performed during Level 2 and Level 3 verification.</w:t>
      </w:r>
    </w:p>
    <w:p>
      <w:pPr>
        <w:pStyle w:val="Heading3"/>
        <w:spacing w:after="120" w:before="240" w:line="312"/>
      </w:pPr>
      <w:bookmarkStart w:id="100013" w:name="_Toc100013"/>
      <w:r>
        <w:rPr>
          <w:rFonts w:ascii="Times New Roman"/>
          <w:b/>
          <w:bCs/>
          <w:color w:val="4A6575"/>
          <w:sz w:val="26"/>
          <w:szCs w:val="26"/>
        </w:rPr>
        <w:t xml:space="preserve">2.1.5 Referral and Affiliate System</w:t>
      </w:r>
      <w:bookmarkEnd w:id="100013"/>
    </w:p>
    <w:p>
      <w:pPr>
        <w:spacing w:after="120" w:line="312"/>
        <w:jc w:val="both"/>
      </w:pPr>
      <w:r>
        <w:rPr>
          <w:rFonts w:ascii="Times New Roman"/>
          <w:color w:val="1A1A1A"/>
          <w:sz w:val="22"/>
          <w:szCs w:val="22"/>
        </w:rPr>
        <w:t xml:space="preserve">The referral system allows users to generate unique referral links and codes to invite new users. When a referred user registers and completes KYC Level 1, both the referrer and referee receive trading fee discount vouchers. The affiliate program provides larger-scale partnership tools: custom referral links, branded landing pages, real-time commission dashboards, and tiered commission structures based on the referred user's trading volume. Commissions are paid daily in the platform's native token or stablecoins. Anti-fraud measures prevent self-referral, wash trading to generate commissions, and cookie stuffing.</w:t>
      </w:r>
    </w:p>
    <w:p>
      <w:pPr>
        <w:spacing w:after="60" w:before="60"/>
      </w:pPr>
    </w:p>
    <w:p>
      <w:pPr>
        <w:pStyle w:val="Heading2"/>
        <w:spacing w:after="160" w:before="360" w:line="312"/>
      </w:pPr>
      <w:bookmarkStart w:id="100014" w:name="_Toc100014"/>
      <w:r>
        <w:rPr>
          <w:rFonts w:ascii="Times New Roman"/>
          <w:b/>
          <w:bCs/>
          <w:color w:val="0F2027"/>
          <w:sz w:val="30"/>
          <w:szCs w:val="30"/>
        </w:rPr>
        <w:t xml:space="preserve">2.2 Wallet Features</w:t>
      </w:r>
      <w:bookmarkEnd w:id="100014"/>
    </w:p>
    <w:p>
      <w:pPr>
        <w:pStyle w:val="Heading3"/>
        <w:spacing w:after="120" w:before="240" w:line="312"/>
      </w:pPr>
      <w:bookmarkStart w:id="100015" w:name="_Toc100015"/>
      <w:r>
        <w:rPr>
          <w:rFonts w:ascii="Times New Roman"/>
          <w:b/>
          <w:bCs/>
          <w:color w:val="4A6575"/>
          <w:sz w:val="26"/>
          <w:szCs w:val="26"/>
        </w:rPr>
        <w:t xml:space="preserve">2.2.1 Deposit System</w:t>
      </w:r>
      <w:bookmarkEnd w:id="100015"/>
    </w:p>
    <w:p>
      <w:pPr>
        <w:spacing w:after="120" w:line="312"/>
        <w:jc w:val="both"/>
      </w:pPr>
      <w:r>
        <w:rPr>
          <w:rFonts w:ascii="Times New Roman"/>
          <w:color w:val="1A1A1A"/>
          <w:sz w:val="22"/>
          <w:szCs w:val="22"/>
        </w:rPr>
        <w:t xml:space="preserve">The deposit system supports cryptocurrency deposits for all listed assets via on-chain transfers, internal transfers from other users, and fiat deposits through banking partnerships, credit/debit cards, and alternative payment methods. For cryptocurrency deposits, the system generates unique deposit addresses per user per asset, monitors the relevant blockchain networks for incoming transactions, performs required confirmations (configurable per asset: 1 confirmation for low-value, 3+ for high-value, 6+ for Bitcoin), and credits user accounts after validation. Address reuse prevention generates a new address for each deposit while maintaining a deterministic HD wallet derivation path for audit purposes.</w:t>
      </w:r>
    </w:p>
    <w:p>
      <w:pPr>
        <w:spacing w:after="120" w:line="312"/>
        <w:jc w:val="both"/>
      </w:pPr>
      <w:r>
        <w:rPr>
          <w:rFonts w:ascii="Times New Roman"/>
          <w:color w:val="1A1A1A"/>
          <w:sz w:val="22"/>
          <w:szCs w:val="22"/>
        </w:rPr>
        <w:t xml:space="preserve">Fiat deposit channels include SEPA (EU), Faster Payments (UK), ACH (USA), wire transfers (global), credit/debit card processing (Visa, Mastercard), and local payment methods (UPI in India, Pix in Brazil, iDEAL in Netherlands). Each fiat channel requires integration with licensed payment processors and banking partners, with compliance checks including sanctions screening and transaction monitoring at the point of entry. Deposit status tracking provides real-time updates to users through the web interface, mobile app, and email/SMS notifications.</w:t>
      </w:r>
    </w:p>
    <w:p>
      <w:pPr>
        <w:pStyle w:val="Heading3"/>
        <w:spacing w:after="120" w:before="240" w:line="312"/>
      </w:pPr>
      <w:bookmarkStart w:id="100016" w:name="_Toc100016"/>
      <w:r>
        <w:rPr>
          <w:rFonts w:ascii="Times New Roman"/>
          <w:b/>
          <w:bCs/>
          <w:color w:val="4A6575"/>
          <w:sz w:val="26"/>
          <w:szCs w:val="26"/>
        </w:rPr>
        <w:t xml:space="preserve">2.2.2 Withdrawal System</w:t>
      </w:r>
      <w:bookmarkEnd w:id="100016"/>
    </w:p>
    <w:p>
      <w:pPr>
        <w:spacing w:after="120" w:line="312"/>
        <w:jc w:val="both"/>
      </w:pPr>
      <w:r>
        <w:rPr>
          <w:rFonts w:ascii="Times New Roman"/>
          <w:color w:val="1A1A1A"/>
          <w:sz w:val="22"/>
          <w:szCs w:val="22"/>
        </w:rPr>
        <w:t xml:space="preserve">The withdrawal system processes cryptocurrency and fiat withdrawals with a multi-tier approval workflow designed to balance security with user experience. Cryptocurrency withdrawals require network fee selection (priority/standard/economy), address whitelist verification (addresses must be pre-registered and confirmed via email), and optional 2FA confirmation for amounts exceeding user-defined thresholds. For large withdrawals (above USD 100,000 equivalent), a manual review process is triggered requiring approval from the operations team. Withdrawal velocity limits prevent rapid depletion of funds in compromised account scenarios.</w:t>
      </w:r>
    </w:p>
    <w:p>
      <w:pPr>
        <w:spacing w:after="120" w:line="312"/>
        <w:jc w:val="both"/>
      </w:pPr>
      <w:r>
        <w:rPr>
          <w:rFonts w:ascii="Times New Roman"/>
          <w:color w:val="1A1A1A"/>
          <w:sz w:val="22"/>
          <w:szCs w:val="22"/>
        </w:rPr>
        <w:t xml:space="preserve">Fiat withdrawals follow the same channels as deposits, with additional anti-money laundering (AML) checks including post-transaction monitoring and source of funds verification for large amounts. The withdrawal engine prioritizes security: all outbound transactions are signed through the HSM/MPC infrastructure, large withdrawals require multi-party approval (no single operator can authorize), and a time-delay mechanism allows automated detection and blocking of suspicious withdrawals before they are broadcast to the network.</w:t>
      </w:r>
    </w:p>
    <w:p>
      <w:pPr>
        <w:pStyle w:val="Heading3"/>
        <w:spacing w:after="120" w:before="240" w:line="312"/>
      </w:pPr>
      <w:bookmarkStart w:id="100017" w:name="_Toc100017"/>
      <w:r>
        <w:rPr>
          <w:rFonts w:ascii="Times New Roman"/>
          <w:b/>
          <w:bCs/>
          <w:color w:val="4A6575"/>
          <w:sz w:val="26"/>
          <w:szCs w:val="26"/>
        </w:rPr>
        <w:t xml:space="preserve">2.2.3 Wallet Architecture Overview</w:t>
      </w:r>
      <w:bookmarkEnd w:id="100017"/>
    </w:p>
    <w:p>
      <w:pPr>
        <w:keepNext/>
        <w:spacing w:after="80" w:before="200" w:line="312"/>
      </w:pPr>
      <w:r>
        <w:rPr>
          <w:rFonts w:ascii="Times New Roman"/>
          <w:b/>
          <w:bCs/>
          <w:i/>
          <w:iCs/>
          <w:color w:val="4A6575"/>
          <w:sz w:val="20"/>
          <w:szCs w:val="20"/>
        </w:rPr>
        <w:t xml:space="preserve">Table 2.1: Wallet Tier Architecture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Wallet Type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Purpose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Storage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Access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Balance Target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Hot Wallet</w:t>
            </w:r>
          </w:p>
        </w:tc>
        <w:tc>
          <w:tcPr>
            <w:shd w:fill="EDF3F5" w:val="clear"/>
            <w:tcMar>
              <w:top w:type="dxa" w:w="50"/>
              <w:left w:type="dxa" w:w="100"/>
              <w:bottom w:type="dxa" w:w="50"/>
              <w:right w:type="dxa" w:w="100"/>
            </w:tcMar>
          </w:tcPr>
          <w:p>
            <w:r>
              <w:rPr>
                <w:rFonts w:ascii="Times New Roman"/>
                <w:color w:val="1A1A1A"/>
                <w:sz w:val="20"/>
                <w:szCs w:val="20"/>
              </w:rPr>
              <w:t xml:space="preserve">Automated small withdrawals &amp; deposits</w:t>
            </w:r>
          </w:p>
        </w:tc>
        <w:tc>
          <w:tcPr>
            <w:shd w:fill="EDF3F5" w:val="clear"/>
            <w:tcMar>
              <w:top w:type="dxa" w:w="50"/>
              <w:left w:type="dxa" w:w="100"/>
              <w:bottom w:type="dxa" w:w="50"/>
              <w:right w:type="dxa" w:w="100"/>
            </w:tcMar>
          </w:tcPr>
          <w:p>
            <w:r>
              <w:rPr>
                <w:rFonts w:ascii="Times New Roman"/>
                <w:color w:val="1A1A1A"/>
                <w:sz w:val="20"/>
                <w:szCs w:val="20"/>
              </w:rPr>
              <w:t xml:space="preserve">Online server, HSM-protected keys</w:t>
            </w:r>
          </w:p>
        </w:tc>
        <w:tc>
          <w:tcPr>
            <w:shd w:fill="EDF3F5" w:val="clear"/>
            <w:tcMar>
              <w:top w:type="dxa" w:w="50"/>
              <w:left w:type="dxa" w:w="100"/>
              <w:bottom w:type="dxa" w:w="50"/>
              <w:right w:type="dxa" w:w="100"/>
            </w:tcMar>
          </w:tcPr>
          <w:p>
            <w:r>
              <w:rPr>
                <w:rFonts w:ascii="Times New Roman"/>
                <w:color w:val="1A1A1A"/>
                <w:sz w:val="20"/>
                <w:szCs w:val="20"/>
              </w:rPr>
              <w:t xml:space="preserve">Automated API</w:t>
            </w:r>
          </w:p>
        </w:tc>
        <w:tc>
          <w:tcPr>
            <w:shd w:fill="EDF3F5" w:val="clear"/>
            <w:tcMar>
              <w:top w:type="dxa" w:w="50"/>
              <w:left w:type="dxa" w:w="100"/>
              <w:bottom w:type="dxa" w:w="50"/>
              <w:right w:type="dxa" w:w="100"/>
            </w:tcMar>
          </w:tcPr>
          <w:p>
            <w:r>
              <w:rPr>
                <w:rFonts w:ascii="Times New Roman"/>
                <w:color w:val="1A1A1A"/>
                <w:sz w:val="20"/>
                <w:szCs w:val="20"/>
              </w:rPr>
              <w:t xml:space="preserve">2-5% of total assets</w:t>
            </w:r>
          </w:p>
        </w:tc>
      </w:tr>
      <w:tr>
        <w:trPr>
          <w:cantSplit/>
        </w:trPr>
        <w:tc>
          <w:tcPr>
            <w:tcMar>
              <w:top w:type="dxa" w:w="50"/>
              <w:left w:type="dxa" w:w="100"/>
              <w:bottom w:type="dxa" w:w="50"/>
              <w:right w:type="dxa" w:w="100"/>
            </w:tcMar>
          </w:tcPr>
          <w:p>
            <w:r>
              <w:rPr>
                <w:rFonts w:ascii="Times New Roman"/>
                <w:color w:val="1A1A1A"/>
                <w:sz w:val="20"/>
                <w:szCs w:val="20"/>
              </w:rPr>
              <w:t xml:space="preserve">Warm Wallet</w:t>
            </w:r>
          </w:p>
        </w:tc>
        <w:tc>
          <w:tcPr>
            <w:tcMar>
              <w:top w:type="dxa" w:w="50"/>
              <w:left w:type="dxa" w:w="100"/>
              <w:bottom w:type="dxa" w:w="50"/>
              <w:right w:type="dxa" w:w="100"/>
            </w:tcMar>
          </w:tcPr>
          <w:p>
            <w:r>
              <w:rPr>
                <w:rFonts w:ascii="Times New Roman"/>
                <w:color w:val="1A1A1A"/>
                <w:sz w:val="20"/>
                <w:szCs w:val="20"/>
              </w:rPr>
              <w:t xml:space="preserve">Medium withdrawals, replenishment</w:t>
            </w:r>
          </w:p>
        </w:tc>
        <w:tc>
          <w:tcPr>
            <w:tcMar>
              <w:top w:type="dxa" w:w="50"/>
              <w:left w:type="dxa" w:w="100"/>
              <w:bottom w:type="dxa" w:w="50"/>
              <w:right w:type="dxa" w:w="100"/>
            </w:tcMar>
          </w:tcPr>
          <w:p>
            <w:r>
              <w:rPr>
                <w:rFonts w:ascii="Times New Roman"/>
                <w:color w:val="1A1A1A"/>
                <w:sz w:val="20"/>
                <w:szCs w:val="20"/>
              </w:rPr>
              <w:t xml:space="preserve">Semi-online, air-gapped signing</w:t>
            </w:r>
          </w:p>
        </w:tc>
        <w:tc>
          <w:tcPr>
            <w:tcMar>
              <w:top w:type="dxa" w:w="50"/>
              <w:left w:type="dxa" w:w="100"/>
              <w:bottom w:type="dxa" w:w="50"/>
              <w:right w:type="dxa" w:w="100"/>
            </w:tcMar>
          </w:tcPr>
          <w:p>
            <w:r>
              <w:rPr>
                <w:rFonts w:ascii="Times New Roman"/>
                <w:color w:val="1A1A1A"/>
                <w:sz w:val="20"/>
                <w:szCs w:val="20"/>
              </w:rPr>
              <w:t xml:space="preserve">Manual + M-of-N approval</w:t>
            </w:r>
          </w:p>
        </w:tc>
        <w:tc>
          <w:tcPr>
            <w:tcMar>
              <w:top w:type="dxa" w:w="50"/>
              <w:left w:type="dxa" w:w="100"/>
              <w:bottom w:type="dxa" w:w="50"/>
              <w:right w:type="dxa" w:w="100"/>
            </w:tcMar>
          </w:tcPr>
          <w:p>
            <w:r>
              <w:rPr>
                <w:rFonts w:ascii="Times New Roman"/>
                <w:color w:val="1A1A1A"/>
                <w:sz w:val="20"/>
                <w:szCs w:val="20"/>
              </w:rPr>
              <w:t xml:space="preserve">10-15% of total assets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Cold Wallet</w:t>
            </w:r>
          </w:p>
        </w:tc>
        <w:tc>
          <w:tcPr>
            <w:shd w:fill="EDF3F5" w:val="clear"/>
            <w:tcMar>
              <w:top w:type="dxa" w:w="50"/>
              <w:left w:type="dxa" w:w="100"/>
              <w:bottom w:type="dxa" w:w="50"/>
              <w:right w:type="dxa" w:w="100"/>
            </w:tcMar>
          </w:tcPr>
          <w:p>
            <w:r>
              <w:rPr>
                <w:rFonts w:ascii="Times New Roman"/>
                <w:color w:val="1A1A1A"/>
                <w:sz w:val="20"/>
                <w:szCs w:val="20"/>
              </w:rPr>
              <w:t xml:space="preserve">Long-term storage, large reserves</w:t>
            </w:r>
          </w:p>
        </w:tc>
        <w:tc>
          <w:tcPr>
            <w:shd w:fill="EDF3F5" w:val="clear"/>
            <w:tcMar>
              <w:top w:type="dxa" w:w="50"/>
              <w:left w:type="dxa" w:w="100"/>
              <w:bottom w:type="dxa" w:w="50"/>
              <w:right w:type="dxa" w:w="100"/>
            </w:tcMar>
          </w:tcPr>
          <w:p>
            <w:r>
              <w:rPr>
                <w:rFonts w:ascii="Times New Roman"/>
                <w:color w:val="1A1A1A"/>
                <w:sz w:val="20"/>
                <w:szCs w:val="20"/>
              </w:rPr>
              <w:t xml:space="preserve">Offline, air-gapped, vault storage</w:t>
            </w:r>
          </w:p>
        </w:tc>
        <w:tc>
          <w:tcPr>
            <w:shd w:fill="EDF3F5" w:val="clear"/>
            <w:tcMar>
              <w:top w:type="dxa" w:w="50"/>
              <w:left w:type="dxa" w:w="100"/>
              <w:bottom w:type="dxa" w:w="50"/>
              <w:right w:type="dxa" w:w="100"/>
            </w:tcMar>
          </w:tcPr>
          <w:p>
            <w:r>
              <w:rPr>
                <w:rFonts w:ascii="Times New Roman"/>
                <w:color w:val="1A1A1A"/>
                <w:sz w:val="20"/>
                <w:szCs w:val="20"/>
              </w:rPr>
              <w:t xml:space="preserve">Multi-party ceremony</w:t>
            </w:r>
          </w:p>
        </w:tc>
        <w:tc>
          <w:tcPr>
            <w:shd w:fill="EDF3F5" w:val="clear"/>
            <w:tcMar>
              <w:top w:type="dxa" w:w="50"/>
              <w:left w:type="dxa" w:w="100"/>
              <w:bottom w:type="dxa" w:w="50"/>
              <w:right w:type="dxa" w:w="100"/>
            </w:tcMar>
          </w:tcPr>
          <w:p>
            <w:r>
              <w:rPr>
                <w:rFonts w:ascii="Times New Roman"/>
                <w:color w:val="1A1A1A"/>
                <w:sz w:val="20"/>
                <w:szCs w:val="20"/>
              </w:rPr>
              <w:t xml:space="preserve">80-88% of total assets</w:t>
            </w:r>
          </w:p>
        </w:tc>
      </w:tr>
      <w:tr>
        <w:trPr>
          <w:cantSplit/>
        </w:trPr>
        <w:tc>
          <w:tcPr>
            <w:tcMar>
              <w:top w:type="dxa" w:w="50"/>
              <w:left w:type="dxa" w:w="100"/>
              <w:bottom w:type="dxa" w:w="50"/>
              <w:right w:type="dxa" w:w="100"/>
            </w:tcMar>
          </w:tcPr>
          <w:p>
            <w:r>
              <w:rPr>
                <w:rFonts w:ascii="Times New Roman"/>
                <w:color w:val="1A1A1A"/>
                <w:sz w:val="20"/>
                <w:szCs w:val="20"/>
              </w:rPr>
              <w:t xml:space="preserve">MPC Wallet</w:t>
            </w:r>
          </w:p>
        </w:tc>
        <w:tc>
          <w:tcPr>
            <w:tcMar>
              <w:top w:type="dxa" w:w="50"/>
              <w:left w:type="dxa" w:w="100"/>
              <w:bottom w:type="dxa" w:w="50"/>
              <w:right w:type="dxa" w:w="100"/>
            </w:tcMar>
          </w:tcPr>
          <w:p>
            <w:r>
              <w:rPr>
                <w:rFonts w:ascii="Times New Roman"/>
                <w:color w:val="1A1A1A"/>
                <w:sz w:val="20"/>
                <w:szCs w:val="20"/>
              </w:rPr>
              <w:t xml:space="preserve">Operational flexibility</w:t>
            </w:r>
          </w:p>
        </w:tc>
        <w:tc>
          <w:tcPr>
            <w:tcMar>
              <w:top w:type="dxa" w:w="50"/>
              <w:left w:type="dxa" w:w="100"/>
              <w:bottom w:type="dxa" w:w="50"/>
              <w:right w:type="dxa" w:w="100"/>
            </w:tcMar>
          </w:tcPr>
          <w:p>
            <w:r>
              <w:rPr>
                <w:rFonts w:ascii="Times New Roman"/>
                <w:color w:val="1A1A1A"/>
                <w:sz w:val="20"/>
                <w:szCs w:val="20"/>
              </w:rPr>
              <w:t xml:space="preserve">Distributed key shares across nodes</w:t>
            </w:r>
          </w:p>
        </w:tc>
        <w:tc>
          <w:tcPr>
            <w:tcMar>
              <w:top w:type="dxa" w:w="50"/>
              <w:left w:type="dxa" w:w="100"/>
              <w:bottom w:type="dxa" w:w="50"/>
              <w:right w:type="dxa" w:w="100"/>
            </w:tcMar>
          </w:tcPr>
          <w:p>
            <w:r>
              <w:rPr>
                <w:rFonts w:ascii="Times New Roman"/>
                <w:color w:val="1A1A1A"/>
                <w:sz w:val="20"/>
                <w:szCs w:val="20"/>
              </w:rPr>
              <w:t xml:space="preserve">Threshold signature</w:t>
            </w:r>
          </w:p>
        </w:tc>
        <w:tc>
          <w:tcPr>
            <w:tcMar>
              <w:top w:type="dxa" w:w="50"/>
              <w:left w:type="dxa" w:w="100"/>
              <w:bottom w:type="dxa" w:w="50"/>
              <w:right w:type="dxa" w:w="100"/>
            </w:tcMar>
          </w:tcPr>
          <w:p>
            <w:r>
              <w:rPr>
                <w:rFonts w:ascii="Times New Roman"/>
                <w:color w:val="1A1A1A"/>
                <w:sz w:val="20"/>
                <w:szCs w:val="20"/>
              </w:rPr>
              <w:t xml:space="preserve">5-10% of total assets</w:t>
            </w:r>
          </w:p>
        </w:tc>
      </w:tr>
    </w:tbl>
    <w:p>
      <w:pPr>
        <w:spacing w:after="60" w:before="60"/>
      </w:pPr>
    </w:p>
    <w:p>
      <w:pPr>
        <w:pStyle w:val="Heading2"/>
        <w:spacing w:after="160" w:before="360" w:line="312"/>
      </w:pPr>
      <w:bookmarkStart w:id="100018" w:name="_Toc100018"/>
      <w:r>
        <w:rPr>
          <w:rFonts w:ascii="Times New Roman"/>
          <w:b/>
          <w:bCs/>
          <w:color w:val="0F2027"/>
          <w:sz w:val="30"/>
          <w:szCs w:val="30"/>
        </w:rPr>
        <w:t xml:space="preserve">2.3 Spot Trading</w:t>
      </w:r>
      <w:bookmarkEnd w:id="100018"/>
    </w:p>
    <w:p>
      <w:pPr>
        <w:spacing w:after="120" w:line="312"/>
        <w:jc w:val="both"/>
      </w:pPr>
      <w:r>
        <w:rPr>
          <w:rFonts w:ascii="Times New Roman"/>
          <w:color w:val="1A1A1A"/>
          <w:sz w:val="22"/>
          <w:szCs w:val="22"/>
        </w:rPr>
        <w:t xml:space="preserve">The spot trading engine supports all standard order types used in modern cryptocurrency exchanges. Market orders execute immediately at the best available price, with optional slippage protection (maximum deviation percentage). Limit orders are placed at a specified price and remain in the order book until filled or cancelled, with support for Good Till Cancelled (GTC), Immediate or Cancel (IOC), Fill or Kill (FOK), and Post Only (maker-only) time-in-force policies. Stop orders trigger a market order when the last traded price reaches the stop price, used primarily for stop-loss protection.</w:t>
      </w:r>
    </w:p>
    <w:p>
      <w:pPr>
        <w:spacing w:after="120" w:line="312"/>
        <w:jc w:val="both"/>
      </w:pPr>
      <w:r>
        <w:rPr>
          <w:rFonts w:ascii="Times New Roman"/>
          <w:color w:val="1A1A1A"/>
          <w:sz w:val="22"/>
          <w:szCs w:val="22"/>
        </w:rPr>
        <w:t xml:space="preserve">Advanced order types include Stop-Limit orders (trigger a limit order at the stop price), One-Cancels-the-Other (OCO) orders (a stop-loss and take-profit pair where execution of one cancels the other), Iceberg orders (display only a fraction of the total order size to hide true market intent), Time-Weighted Average Price (TWAP) orders (slice a large order into equal parts over a specified time window), and Trailing Stop orders (maintain a stop price at a fixed percentage distance from the market price, adjusting upward for long positions or downward for short positions as the market moves favorably).</w:t>
      </w:r>
    </w:p>
    <w:p>
      <w:pPr>
        <w:keepNext/>
        <w:spacing w:after="80" w:before="200" w:line="312"/>
      </w:pPr>
      <w:r>
        <w:rPr>
          <w:rFonts w:ascii="Times New Roman"/>
          <w:b/>
          <w:bCs/>
          <w:i/>
          <w:iCs/>
          <w:color w:val="4A6575"/>
          <w:sz w:val="20"/>
          <w:szCs w:val="20"/>
        </w:rPr>
        <w:t xml:space="preserve">Table 2.2: Spot Trading Order Types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Order Type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Trigger</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Execution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Use Case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Market</w:t>
            </w:r>
          </w:p>
        </w:tc>
        <w:tc>
          <w:tcPr>
            <w:shd w:fill="EDF3F5" w:val="clear"/>
            <w:tcMar>
              <w:top w:type="dxa" w:w="50"/>
              <w:left w:type="dxa" w:w="100"/>
              <w:bottom w:type="dxa" w:w="50"/>
              <w:right w:type="dxa" w:w="100"/>
            </w:tcMar>
          </w:tcPr>
          <w:p>
            <w:r>
              <w:rPr>
                <w:rFonts w:ascii="Times New Roman"/>
                <w:color w:val="1A1A1A"/>
                <w:sz w:val="20"/>
                <w:szCs w:val="20"/>
              </w:rPr>
              <w:t xml:space="preserve">Immediate</w:t>
            </w:r>
          </w:p>
        </w:tc>
        <w:tc>
          <w:tcPr>
            <w:shd w:fill="EDF3F5" w:val="clear"/>
            <w:tcMar>
              <w:top w:type="dxa" w:w="50"/>
              <w:left w:type="dxa" w:w="100"/>
              <w:bottom w:type="dxa" w:w="50"/>
              <w:right w:type="dxa" w:w="100"/>
            </w:tcMar>
          </w:tcPr>
          <w:p>
            <w:r>
              <w:rPr>
                <w:rFonts w:ascii="Times New Roman"/>
                <w:color w:val="1A1A1A"/>
                <w:sz w:val="20"/>
                <w:szCs w:val="20"/>
              </w:rPr>
              <w:t xml:space="preserve">Best available price</w:t>
            </w:r>
          </w:p>
        </w:tc>
        <w:tc>
          <w:tcPr>
            <w:shd w:fill="EDF3F5" w:val="clear"/>
            <w:tcMar>
              <w:top w:type="dxa" w:w="50"/>
              <w:left w:type="dxa" w:w="100"/>
              <w:bottom w:type="dxa" w:w="50"/>
              <w:right w:type="dxa" w:w="100"/>
            </w:tcMar>
          </w:tcPr>
          <w:p>
            <w:r>
              <w:rPr>
                <w:rFonts w:ascii="Times New Roman"/>
                <w:color w:val="1A1A1A"/>
                <w:sz w:val="20"/>
                <w:szCs w:val="20"/>
              </w:rPr>
              <w:t xml:space="preserve">Quick entry/exit</w:t>
            </w:r>
          </w:p>
        </w:tc>
      </w:tr>
      <w:tr>
        <w:trPr>
          <w:cantSplit/>
        </w:trPr>
        <w:tc>
          <w:tcPr>
            <w:tcMar>
              <w:top w:type="dxa" w:w="50"/>
              <w:left w:type="dxa" w:w="100"/>
              <w:bottom w:type="dxa" w:w="50"/>
              <w:right w:type="dxa" w:w="100"/>
            </w:tcMar>
          </w:tcPr>
          <w:p>
            <w:r>
              <w:rPr>
                <w:rFonts w:ascii="Times New Roman"/>
                <w:color w:val="1A1A1A"/>
                <w:sz w:val="20"/>
                <w:szCs w:val="20"/>
              </w:rPr>
              <w:t xml:space="preserve">Limit</w:t>
            </w:r>
          </w:p>
        </w:tc>
        <w:tc>
          <w:tcPr>
            <w:tcMar>
              <w:top w:type="dxa" w:w="50"/>
              <w:left w:type="dxa" w:w="100"/>
              <w:bottom w:type="dxa" w:w="50"/>
              <w:right w:type="dxa" w:w="100"/>
            </w:tcMar>
          </w:tcPr>
          <w:p>
            <w:r>
              <w:rPr>
                <w:rFonts w:ascii="Times New Roman"/>
                <w:color w:val="1A1A1A"/>
                <w:sz w:val="20"/>
                <w:szCs w:val="20"/>
              </w:rPr>
              <w:t xml:space="preserve">Price match</w:t>
            </w:r>
          </w:p>
        </w:tc>
        <w:tc>
          <w:tcPr>
            <w:tcMar>
              <w:top w:type="dxa" w:w="50"/>
              <w:left w:type="dxa" w:w="100"/>
              <w:bottom w:type="dxa" w:w="50"/>
              <w:right w:type="dxa" w:w="100"/>
            </w:tcMar>
          </w:tcPr>
          <w:p>
            <w:r>
              <w:rPr>
                <w:rFonts w:ascii="Times New Roman"/>
                <w:color w:val="1A1A1A"/>
                <w:sz w:val="20"/>
                <w:szCs w:val="20"/>
              </w:rPr>
              <w:t xml:space="preserve">Specified price or better</w:t>
            </w:r>
          </w:p>
        </w:tc>
        <w:tc>
          <w:tcPr>
            <w:tcMar>
              <w:top w:type="dxa" w:w="50"/>
              <w:left w:type="dxa" w:w="100"/>
              <w:bottom w:type="dxa" w:w="50"/>
              <w:right w:type="dxa" w:w="100"/>
            </w:tcMar>
          </w:tcPr>
          <w:p>
            <w:r>
              <w:rPr>
                <w:rFonts w:ascii="Times New Roman"/>
                <w:color w:val="1A1A1A"/>
                <w:sz w:val="20"/>
                <w:szCs w:val="20"/>
              </w:rPr>
              <w:t xml:space="preserve">Precise entry/exit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Stop Market</w:t>
            </w:r>
          </w:p>
        </w:tc>
        <w:tc>
          <w:tcPr>
            <w:shd w:fill="EDF3F5" w:val="clear"/>
            <w:tcMar>
              <w:top w:type="dxa" w:w="50"/>
              <w:left w:type="dxa" w:w="100"/>
              <w:bottom w:type="dxa" w:w="50"/>
              <w:right w:type="dxa" w:w="100"/>
            </w:tcMar>
          </w:tcPr>
          <w:p>
            <w:r>
              <w:rPr>
                <w:rFonts w:ascii="Times New Roman"/>
                <w:color w:val="1A1A1A"/>
                <w:sz w:val="20"/>
                <w:szCs w:val="20"/>
              </w:rPr>
              <w:t xml:space="preserve">Stop price hit</w:t>
            </w:r>
          </w:p>
        </w:tc>
        <w:tc>
          <w:tcPr>
            <w:shd w:fill="EDF3F5" w:val="clear"/>
            <w:tcMar>
              <w:top w:type="dxa" w:w="50"/>
              <w:left w:type="dxa" w:w="100"/>
              <w:bottom w:type="dxa" w:w="50"/>
              <w:right w:type="dxa" w:w="100"/>
            </w:tcMar>
          </w:tcPr>
          <w:p>
            <w:r>
              <w:rPr>
                <w:rFonts w:ascii="Times New Roman"/>
                <w:color w:val="1A1A1A"/>
                <w:sz w:val="20"/>
                <w:szCs w:val="20"/>
              </w:rPr>
              <w:t xml:space="preserve">Market order at trigger</w:t>
            </w:r>
          </w:p>
        </w:tc>
        <w:tc>
          <w:tcPr>
            <w:shd w:fill="EDF3F5" w:val="clear"/>
            <w:tcMar>
              <w:top w:type="dxa" w:w="50"/>
              <w:left w:type="dxa" w:w="100"/>
              <w:bottom w:type="dxa" w:w="50"/>
              <w:right w:type="dxa" w:w="100"/>
            </w:tcMar>
          </w:tcPr>
          <w:p>
            <w:r>
              <w:rPr>
                <w:rFonts w:ascii="Times New Roman"/>
                <w:color w:val="1A1A1A"/>
                <w:sz w:val="20"/>
                <w:szCs w:val="20"/>
              </w:rPr>
              <w:t xml:space="preserve">Stop-loss protection</w:t>
            </w:r>
          </w:p>
        </w:tc>
      </w:tr>
      <w:tr>
        <w:trPr>
          <w:cantSplit/>
        </w:trPr>
        <w:tc>
          <w:tcPr>
            <w:tcMar>
              <w:top w:type="dxa" w:w="50"/>
              <w:left w:type="dxa" w:w="100"/>
              <w:bottom w:type="dxa" w:w="50"/>
              <w:right w:type="dxa" w:w="100"/>
            </w:tcMar>
          </w:tcPr>
          <w:p>
            <w:r>
              <w:rPr>
                <w:rFonts w:ascii="Times New Roman"/>
                <w:color w:val="1A1A1A"/>
                <w:sz w:val="20"/>
                <w:szCs w:val="20"/>
              </w:rPr>
              <w:t xml:space="preserve">Stop Limit</w:t>
            </w:r>
          </w:p>
        </w:tc>
        <w:tc>
          <w:tcPr>
            <w:tcMar>
              <w:top w:type="dxa" w:w="50"/>
              <w:left w:type="dxa" w:w="100"/>
              <w:bottom w:type="dxa" w:w="50"/>
              <w:right w:type="dxa" w:w="100"/>
            </w:tcMar>
          </w:tcPr>
          <w:p>
            <w:r>
              <w:rPr>
                <w:rFonts w:ascii="Times New Roman"/>
                <w:color w:val="1A1A1A"/>
                <w:sz w:val="20"/>
                <w:szCs w:val="20"/>
              </w:rPr>
              <w:t xml:space="preserve">Stop price hit</w:t>
            </w:r>
          </w:p>
        </w:tc>
        <w:tc>
          <w:tcPr>
            <w:tcMar>
              <w:top w:type="dxa" w:w="50"/>
              <w:left w:type="dxa" w:w="100"/>
              <w:bottom w:type="dxa" w:w="50"/>
              <w:right w:type="dxa" w:w="100"/>
            </w:tcMar>
          </w:tcPr>
          <w:p>
            <w:r>
              <w:rPr>
                <w:rFonts w:ascii="Times New Roman"/>
                <w:color w:val="1A1A1A"/>
                <w:sz w:val="20"/>
                <w:szCs w:val="20"/>
              </w:rPr>
              <w:t xml:space="preserve">Limit order at trigger price</w:t>
            </w:r>
          </w:p>
        </w:tc>
        <w:tc>
          <w:tcPr>
            <w:tcMar>
              <w:top w:type="dxa" w:w="50"/>
              <w:left w:type="dxa" w:w="100"/>
              <w:bottom w:type="dxa" w:w="50"/>
              <w:right w:type="dxa" w:w="100"/>
            </w:tcMar>
          </w:tcPr>
          <w:p>
            <w:r>
              <w:rPr>
                <w:rFonts w:ascii="Times New Roman"/>
                <w:color w:val="1A1A1A"/>
                <w:sz w:val="20"/>
                <w:szCs w:val="20"/>
              </w:rPr>
              <w:t xml:space="preserve">Controlled stop-loss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OCO</w:t>
            </w:r>
          </w:p>
        </w:tc>
        <w:tc>
          <w:tcPr>
            <w:shd w:fill="EDF3F5" w:val="clear"/>
            <w:tcMar>
              <w:top w:type="dxa" w:w="50"/>
              <w:left w:type="dxa" w:w="100"/>
              <w:bottom w:type="dxa" w:w="50"/>
              <w:right w:type="dxa" w:w="100"/>
            </w:tcMar>
          </w:tcPr>
          <w:p>
            <w:r>
              <w:rPr>
                <w:rFonts w:ascii="Times New Roman"/>
                <w:color w:val="1A1A1A"/>
                <w:sz w:val="20"/>
                <w:szCs w:val="20"/>
              </w:rPr>
              <w:t xml:space="preserve">Either condition</w:t>
            </w:r>
          </w:p>
        </w:tc>
        <w:tc>
          <w:tcPr>
            <w:shd w:fill="EDF3F5" w:val="clear"/>
            <w:tcMar>
              <w:top w:type="dxa" w:w="50"/>
              <w:left w:type="dxa" w:w="100"/>
              <w:bottom w:type="dxa" w:w="50"/>
              <w:right w:type="dxa" w:w="100"/>
            </w:tcMar>
          </w:tcPr>
          <w:p>
            <w:r>
              <w:rPr>
                <w:rFonts w:ascii="Times New Roman"/>
                <w:color w:val="1A1A1A"/>
                <w:sz w:val="20"/>
                <w:szCs w:val="20"/>
              </w:rPr>
              <w:t xml:space="preserve">Two linked orders</w:t>
            </w:r>
          </w:p>
        </w:tc>
        <w:tc>
          <w:tcPr>
            <w:shd w:fill="EDF3F5" w:val="clear"/>
            <w:tcMar>
              <w:top w:type="dxa" w:w="50"/>
              <w:left w:type="dxa" w:w="100"/>
              <w:bottom w:type="dxa" w:w="50"/>
              <w:right w:type="dxa" w:w="100"/>
            </w:tcMar>
          </w:tcPr>
          <w:p>
            <w:r>
              <w:rPr>
                <w:rFonts w:ascii="Times New Roman"/>
                <w:color w:val="1A1A1A"/>
                <w:sz w:val="20"/>
                <w:szCs w:val="20"/>
              </w:rPr>
              <w:t xml:space="preserve">Bracket orders</w:t>
            </w:r>
          </w:p>
        </w:tc>
      </w:tr>
      <w:tr>
        <w:trPr>
          <w:cantSplit/>
        </w:trPr>
        <w:tc>
          <w:tcPr>
            <w:tcMar>
              <w:top w:type="dxa" w:w="50"/>
              <w:left w:type="dxa" w:w="100"/>
              <w:bottom w:type="dxa" w:w="50"/>
              <w:right w:type="dxa" w:w="100"/>
            </w:tcMar>
          </w:tcPr>
          <w:p>
            <w:r>
              <w:rPr>
                <w:rFonts w:ascii="Times New Roman"/>
                <w:color w:val="1A1A1A"/>
                <w:sz w:val="20"/>
                <w:szCs w:val="20"/>
              </w:rPr>
              <w:t xml:space="preserve">Iceberg</w:t>
            </w:r>
          </w:p>
        </w:tc>
        <w:tc>
          <w:tcPr>
            <w:tcMar>
              <w:top w:type="dxa" w:w="50"/>
              <w:left w:type="dxa" w:w="100"/>
              <w:bottom w:type="dxa" w:w="50"/>
              <w:right w:type="dxa" w:w="100"/>
            </w:tcMar>
          </w:tcPr>
          <w:p>
            <w:r>
              <w:rPr>
                <w:rFonts w:ascii="Times New Roman"/>
                <w:color w:val="1A1A1A"/>
                <w:sz w:val="20"/>
                <w:szCs w:val="20"/>
              </w:rPr>
              <w:t xml:space="preserve">Price match</w:t>
            </w:r>
          </w:p>
        </w:tc>
        <w:tc>
          <w:tcPr>
            <w:tcMar>
              <w:top w:type="dxa" w:w="50"/>
              <w:left w:type="dxa" w:w="100"/>
              <w:bottom w:type="dxa" w:w="50"/>
              <w:right w:type="dxa" w:w="100"/>
            </w:tcMar>
          </w:tcPr>
          <w:p>
            <w:r>
              <w:rPr>
                <w:rFonts w:ascii="Times New Roman"/>
                <w:color w:val="1A1A1A"/>
                <w:sz w:val="20"/>
                <w:szCs w:val="20"/>
              </w:rPr>
              <w:t xml:space="preserve">Partial display, full size</w:t>
            </w:r>
          </w:p>
        </w:tc>
        <w:tc>
          <w:tcPr>
            <w:tcMar>
              <w:top w:type="dxa" w:w="50"/>
              <w:left w:type="dxa" w:w="100"/>
              <w:bottom w:type="dxa" w:w="50"/>
              <w:right w:type="dxa" w:w="100"/>
            </w:tcMar>
          </w:tcPr>
          <w:p>
            <w:r>
              <w:rPr>
                <w:rFonts w:ascii="Times New Roman"/>
                <w:color w:val="1A1A1A"/>
                <w:sz w:val="20"/>
                <w:szCs w:val="20"/>
              </w:rPr>
              <w:t xml:space="preserve">Large orders stealth</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TWAP</w:t>
            </w:r>
          </w:p>
        </w:tc>
        <w:tc>
          <w:tcPr>
            <w:shd w:fill="EDF3F5" w:val="clear"/>
            <w:tcMar>
              <w:top w:type="dxa" w:w="50"/>
              <w:left w:type="dxa" w:w="100"/>
              <w:bottom w:type="dxa" w:w="50"/>
              <w:right w:type="dxa" w:w="100"/>
            </w:tcMar>
          </w:tcPr>
          <w:p>
            <w:r>
              <w:rPr>
                <w:rFonts w:ascii="Times New Roman"/>
                <w:color w:val="1A1A1A"/>
                <w:sz w:val="20"/>
                <w:szCs w:val="20"/>
              </w:rPr>
              <w:t xml:space="preserve">Time slices</w:t>
            </w:r>
          </w:p>
        </w:tc>
        <w:tc>
          <w:tcPr>
            <w:shd w:fill="EDF3F5" w:val="clear"/>
            <w:tcMar>
              <w:top w:type="dxa" w:w="50"/>
              <w:left w:type="dxa" w:w="100"/>
              <w:bottom w:type="dxa" w:w="50"/>
              <w:right w:type="dxa" w:w="100"/>
            </w:tcMar>
          </w:tcPr>
          <w:p>
            <w:r>
              <w:rPr>
                <w:rFonts w:ascii="Times New Roman"/>
                <w:color w:val="1A1A1A"/>
                <w:sz w:val="20"/>
                <w:szCs w:val="20"/>
              </w:rPr>
              <w:t xml:space="preserve">Evenly over duration</w:t>
            </w:r>
          </w:p>
        </w:tc>
        <w:tc>
          <w:tcPr>
            <w:shd w:fill="EDF3F5" w:val="clear"/>
            <w:tcMar>
              <w:top w:type="dxa" w:w="50"/>
              <w:left w:type="dxa" w:w="100"/>
              <w:bottom w:type="dxa" w:w="50"/>
              <w:right w:type="dxa" w:w="100"/>
            </w:tcMar>
          </w:tcPr>
          <w:p>
            <w:r>
              <w:rPr>
                <w:rFonts w:ascii="Times New Roman"/>
                <w:color w:val="1A1A1A"/>
                <w:sz w:val="20"/>
                <w:szCs w:val="20"/>
              </w:rPr>
              <w:t xml:space="preserve">Reduce market impact</w:t>
            </w:r>
          </w:p>
        </w:tc>
      </w:tr>
      <w:tr>
        <w:trPr>
          <w:cantSplit/>
        </w:trPr>
        <w:tc>
          <w:tcPr>
            <w:tcMar>
              <w:top w:type="dxa" w:w="50"/>
              <w:left w:type="dxa" w:w="100"/>
              <w:bottom w:type="dxa" w:w="50"/>
              <w:right w:type="dxa" w:w="100"/>
            </w:tcMar>
          </w:tcPr>
          <w:p>
            <w:r>
              <w:rPr>
                <w:rFonts w:ascii="Times New Roman"/>
                <w:color w:val="1A1A1A"/>
                <w:sz w:val="20"/>
                <w:szCs w:val="20"/>
              </w:rPr>
              <w:t xml:space="preserve">Trailing Stop</w:t>
            </w:r>
          </w:p>
        </w:tc>
        <w:tc>
          <w:tcPr>
            <w:tcMar>
              <w:top w:type="dxa" w:w="50"/>
              <w:left w:type="dxa" w:w="100"/>
              <w:bottom w:type="dxa" w:w="50"/>
              <w:right w:type="dxa" w:w="100"/>
            </w:tcMar>
          </w:tcPr>
          <w:p>
            <w:r>
              <w:rPr>
                <w:rFonts w:ascii="Times New Roman"/>
                <w:color w:val="1A1A1A"/>
                <w:sz w:val="20"/>
                <w:szCs w:val="20"/>
              </w:rPr>
              <w:t xml:space="preserve">Price moves</w:t>
            </w:r>
          </w:p>
        </w:tc>
        <w:tc>
          <w:tcPr>
            <w:tcMar>
              <w:top w:type="dxa" w:w="50"/>
              <w:left w:type="dxa" w:w="100"/>
              <w:bottom w:type="dxa" w:w="50"/>
              <w:right w:type="dxa" w:w="100"/>
            </w:tcMar>
          </w:tcPr>
          <w:p>
            <w:r>
              <w:rPr>
                <w:rFonts w:ascii="Times New Roman"/>
                <w:color w:val="1A1A1A"/>
                <w:sz w:val="20"/>
                <w:szCs w:val="20"/>
              </w:rPr>
              <w:t xml:space="preserve">Dynamic stop distance</w:t>
            </w:r>
          </w:p>
        </w:tc>
        <w:tc>
          <w:tcPr>
            <w:tcMar>
              <w:top w:type="dxa" w:w="50"/>
              <w:left w:type="dxa" w:w="100"/>
              <w:bottom w:type="dxa" w:w="50"/>
              <w:right w:type="dxa" w:w="100"/>
            </w:tcMar>
          </w:tcPr>
          <w:p>
            <w:r>
              <w:rPr>
                <w:rFonts w:ascii="Times New Roman"/>
                <w:color w:val="1A1A1A"/>
                <w:sz w:val="20"/>
                <w:szCs w:val="20"/>
              </w:rPr>
              <w:t xml:space="preserve">Lock in profits</w:t>
            </w:r>
          </w:p>
        </w:tc>
      </w:tr>
    </w:tbl>
    <w:p>
      <w:pPr>
        <w:spacing w:after="60" w:before="60"/>
      </w:pPr>
    </w:p>
    <w:p>
      <w:pPr>
        <w:pStyle w:val="Heading2"/>
        <w:spacing w:after="160" w:before="360" w:line="312"/>
      </w:pPr>
      <w:bookmarkStart w:id="100019" w:name="_Toc100019"/>
      <w:r>
        <w:rPr>
          <w:rFonts w:ascii="Times New Roman"/>
          <w:b/>
          <w:bCs/>
          <w:color w:val="0F2027"/>
          <w:sz w:val="30"/>
          <w:szCs w:val="30"/>
        </w:rPr>
        <w:t xml:space="preserve">2.4 Margin Trading</w:t>
      </w:r>
      <w:bookmarkEnd w:id="100019"/>
    </w:p>
    <w:p>
      <w:pPr>
        <w:spacing w:after="120" w:line="312"/>
        <w:jc w:val="both"/>
      </w:pPr>
      <w:r>
        <w:rPr>
          <w:rFonts w:ascii="Times New Roman"/>
          <w:color w:val="1A1A1A"/>
          <w:sz w:val="22"/>
          <w:szCs w:val="22"/>
        </w:rPr>
        <w:t xml:space="preserve">The margin trading system enables users to borrow funds against their existing cryptocurrency holdings to amplify their trading position. The platform supports two margin modes: Cross Margin, where the entire account balance across all trading pairs serves as collateral for all open positions, providing greater flexibility and capital efficiency but with the risk of total account liquidation; and Isolated Margin, where each trading pair has its own margin account with a fixed collateral amount, limiting risk to the isolated position but potentially resulting in lower capital efficiency.</w:t>
      </w:r>
    </w:p>
    <w:p>
      <w:pPr>
        <w:spacing w:after="120" w:line="312"/>
        <w:jc w:val="both"/>
      </w:pPr>
      <w:r>
        <w:rPr>
          <w:rFonts w:ascii="Times New Roman"/>
          <w:color w:val="1A1A1A"/>
          <w:sz w:val="22"/>
          <w:szCs w:val="22"/>
        </w:rPr>
        <w:t xml:space="preserve">The margin risk engine continuously monitors the margin ratio (total collateral value divided by total borrowed value plus unrealized losses) for each user and position. When the margin ratio falls below the maintenance margin threshold (configurable per pair, typically 5-10%), the system initiates a margin call notification requiring the user to add collateral within a specified timeframe. If the margin ratio falls below the liquidation threshold (typically 2-5%), the liquidation engine takes over and forcefully closes the position at market price. Margin interest is calculated on an hourly basis at rates that vary by asset demand and supply, with a supply-demand matching engine connecting lenders and borrowers.</w:t>
      </w:r>
    </w:p>
    <w:p>
      <w:pPr>
        <w:keepNext/>
        <w:spacing w:after="80" w:before="200" w:line="312"/>
      </w:pPr>
      <w:r>
        <w:rPr>
          <w:rFonts w:ascii="Times New Roman"/>
          <w:b/>
          <w:bCs/>
          <w:i/>
          <w:iCs/>
          <w:color w:val="4A6575"/>
          <w:sz w:val="20"/>
          <w:szCs w:val="20"/>
        </w:rPr>
        <w:t xml:space="preserve">Table 2.3: Margin Trading Parameters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Parameter</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Cross Margin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Isolated Margin</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Collateral</w:t>
            </w:r>
          </w:p>
        </w:tc>
        <w:tc>
          <w:tcPr>
            <w:shd w:fill="EDF3F5" w:val="clear"/>
            <w:tcMar>
              <w:top w:type="dxa" w:w="50"/>
              <w:left w:type="dxa" w:w="100"/>
              <w:bottom w:type="dxa" w:w="50"/>
              <w:right w:type="dxa" w:w="100"/>
            </w:tcMar>
          </w:tcPr>
          <w:p>
            <w:r>
              <w:rPr>
                <w:rFonts w:ascii="Times New Roman"/>
                <w:color w:val="1A1A1A"/>
                <w:sz w:val="20"/>
                <w:szCs w:val="20"/>
              </w:rPr>
              <w:t xml:space="preserve">Full account balance</w:t>
            </w:r>
          </w:p>
        </w:tc>
        <w:tc>
          <w:tcPr>
            <w:shd w:fill="EDF3F5" w:val="clear"/>
            <w:tcMar>
              <w:top w:type="dxa" w:w="50"/>
              <w:left w:type="dxa" w:w="100"/>
              <w:bottom w:type="dxa" w:w="50"/>
              <w:right w:type="dxa" w:w="100"/>
            </w:tcMar>
          </w:tcPr>
          <w:p>
            <w:r>
              <w:rPr>
                <w:rFonts w:ascii="Times New Roman"/>
                <w:color w:val="1A1A1A"/>
                <w:sz w:val="20"/>
                <w:szCs w:val="20"/>
              </w:rPr>
              <w:t xml:space="preserve">Per-pair allocated amount</w:t>
            </w:r>
          </w:p>
        </w:tc>
      </w:tr>
      <w:tr>
        <w:trPr>
          <w:cantSplit/>
        </w:trPr>
        <w:tc>
          <w:tcPr>
            <w:tcMar>
              <w:top w:type="dxa" w:w="50"/>
              <w:left w:type="dxa" w:w="100"/>
              <w:bottom w:type="dxa" w:w="50"/>
              <w:right w:type="dxa" w:w="100"/>
            </w:tcMar>
          </w:tcPr>
          <w:p>
            <w:r>
              <w:rPr>
                <w:rFonts w:ascii="Times New Roman"/>
                <w:color w:val="1A1A1A"/>
                <w:sz w:val="20"/>
                <w:szCs w:val="20"/>
              </w:rPr>
              <w:t xml:space="preserve">Risk Isolation</w:t>
            </w:r>
          </w:p>
        </w:tc>
        <w:tc>
          <w:tcPr>
            <w:tcMar>
              <w:top w:type="dxa" w:w="50"/>
              <w:left w:type="dxa" w:w="100"/>
              <w:bottom w:type="dxa" w:w="50"/>
              <w:right w:type="dxa" w:w="100"/>
            </w:tcMar>
          </w:tcPr>
          <w:p>
            <w:r>
              <w:rPr>
                <w:rFonts w:ascii="Times New Roman"/>
                <w:color w:val="1A1A1A"/>
                <w:sz w:val="20"/>
                <w:szCs w:val="20"/>
              </w:rPr>
              <w:t xml:space="preserve">None (shared risk)</w:t>
            </w:r>
          </w:p>
        </w:tc>
        <w:tc>
          <w:tcPr>
            <w:tcMar>
              <w:top w:type="dxa" w:w="50"/>
              <w:left w:type="dxa" w:w="100"/>
              <w:bottom w:type="dxa" w:w="50"/>
              <w:right w:type="dxa" w:w="100"/>
            </w:tcMar>
          </w:tcPr>
          <w:p>
            <w:r>
              <w:rPr>
                <w:rFonts w:ascii="Times New Roman"/>
                <w:color w:val="1A1A1A"/>
                <w:sz w:val="20"/>
                <w:szCs w:val="20"/>
              </w:rPr>
              <w:t xml:space="preserve">Per-pair isolation</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Liquidation Impact</w:t>
            </w:r>
          </w:p>
        </w:tc>
        <w:tc>
          <w:tcPr>
            <w:shd w:fill="EDF3F5" w:val="clear"/>
            <w:tcMar>
              <w:top w:type="dxa" w:w="50"/>
              <w:left w:type="dxa" w:w="100"/>
              <w:bottom w:type="dxa" w:w="50"/>
              <w:right w:type="dxa" w:w="100"/>
            </w:tcMar>
          </w:tcPr>
          <w:p>
            <w:r>
              <w:rPr>
                <w:rFonts w:ascii="Times New Roman"/>
                <w:color w:val="1A1A1A"/>
                <w:sz w:val="20"/>
                <w:szCs w:val="20"/>
              </w:rPr>
              <w:t xml:space="preserve">Entire account at risk</w:t>
            </w:r>
          </w:p>
        </w:tc>
        <w:tc>
          <w:tcPr>
            <w:shd w:fill="EDF3F5" w:val="clear"/>
            <w:tcMar>
              <w:top w:type="dxa" w:w="50"/>
              <w:left w:type="dxa" w:w="100"/>
              <w:bottom w:type="dxa" w:w="50"/>
              <w:right w:type="dxa" w:w="100"/>
            </w:tcMar>
          </w:tcPr>
          <w:p>
            <w:r>
              <w:rPr>
                <w:rFonts w:ascii="Times New Roman"/>
                <w:color w:val="1A1A1A"/>
                <w:sz w:val="20"/>
                <w:szCs w:val="20"/>
              </w:rPr>
              <w:t xml:space="preserve">Only isolated position</w:t>
            </w:r>
          </w:p>
        </w:tc>
      </w:tr>
      <w:tr>
        <w:trPr>
          <w:cantSplit/>
        </w:trPr>
        <w:tc>
          <w:tcPr>
            <w:tcMar>
              <w:top w:type="dxa" w:w="50"/>
              <w:left w:type="dxa" w:w="100"/>
              <w:bottom w:type="dxa" w:w="50"/>
              <w:right w:type="dxa" w:w="100"/>
            </w:tcMar>
          </w:tcPr>
          <w:p>
            <w:r>
              <w:rPr>
                <w:rFonts w:ascii="Times New Roman"/>
                <w:color w:val="1A1A1A"/>
                <w:sz w:val="20"/>
                <w:szCs w:val="20"/>
              </w:rPr>
              <w:t xml:space="preserve">Leverage Range</w:t>
            </w:r>
          </w:p>
        </w:tc>
        <w:tc>
          <w:tcPr>
            <w:tcMar>
              <w:top w:type="dxa" w:w="50"/>
              <w:left w:type="dxa" w:w="100"/>
              <w:bottom w:type="dxa" w:w="50"/>
              <w:right w:type="dxa" w:w="100"/>
            </w:tcMar>
          </w:tcPr>
          <w:p>
            <w:r>
              <w:rPr>
                <w:rFonts w:ascii="Times New Roman"/>
                <w:color w:val="1A1A1A"/>
                <w:sz w:val="20"/>
                <w:szCs w:val="20"/>
              </w:rPr>
              <w:t xml:space="preserve">2x - 20x</w:t>
            </w:r>
          </w:p>
        </w:tc>
        <w:tc>
          <w:tcPr>
            <w:tcMar>
              <w:top w:type="dxa" w:w="50"/>
              <w:left w:type="dxa" w:w="100"/>
              <w:bottom w:type="dxa" w:w="50"/>
              <w:right w:type="dxa" w:w="100"/>
            </w:tcMar>
          </w:tcPr>
          <w:p>
            <w:r>
              <w:rPr>
                <w:rFonts w:ascii="Times New Roman"/>
                <w:color w:val="1A1A1A"/>
                <w:sz w:val="20"/>
                <w:szCs w:val="20"/>
              </w:rPr>
              <w:t xml:space="preserve">2x - 10x</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Interest Rate</w:t>
            </w:r>
          </w:p>
        </w:tc>
        <w:tc>
          <w:tcPr>
            <w:shd w:fill="EDF3F5" w:val="clear"/>
            <w:tcMar>
              <w:top w:type="dxa" w:w="50"/>
              <w:left w:type="dxa" w:w="100"/>
              <w:bottom w:type="dxa" w:w="50"/>
              <w:right w:type="dxa" w:w="100"/>
            </w:tcMar>
          </w:tcPr>
          <w:p>
            <w:r>
              <w:rPr>
                <w:rFonts w:ascii="Times New Roman"/>
                <w:color w:val="1A1A1A"/>
                <w:sz w:val="20"/>
                <w:szCs w:val="20"/>
              </w:rPr>
              <w:t xml:space="preserve">Variable (hourly)</w:t>
            </w:r>
          </w:p>
        </w:tc>
        <w:tc>
          <w:tcPr>
            <w:shd w:fill="EDF3F5" w:val="clear"/>
            <w:tcMar>
              <w:top w:type="dxa" w:w="50"/>
              <w:left w:type="dxa" w:w="100"/>
              <w:bottom w:type="dxa" w:w="50"/>
              <w:right w:type="dxa" w:w="100"/>
            </w:tcMar>
          </w:tcPr>
          <w:p>
            <w:r>
              <w:rPr>
                <w:rFonts w:ascii="Times New Roman"/>
                <w:color w:val="1A1A1A"/>
                <w:sz w:val="20"/>
                <w:szCs w:val="20"/>
              </w:rPr>
              <w:t xml:space="preserve">Variable (hourly)</w:t>
            </w:r>
          </w:p>
        </w:tc>
      </w:tr>
      <w:tr>
        <w:trPr>
          <w:cantSplit/>
        </w:trPr>
        <w:tc>
          <w:tcPr>
            <w:tcMar>
              <w:top w:type="dxa" w:w="50"/>
              <w:left w:type="dxa" w:w="100"/>
              <w:bottom w:type="dxa" w:w="50"/>
              <w:right w:type="dxa" w:w="100"/>
            </w:tcMar>
          </w:tcPr>
          <w:p>
            <w:r>
              <w:rPr>
                <w:rFonts w:ascii="Times New Roman"/>
                <w:color w:val="1A1A1A"/>
                <w:sz w:val="20"/>
                <w:szCs w:val="20"/>
              </w:rPr>
              <w:t xml:space="preserve">Margin Call Threshold</w:t>
            </w:r>
          </w:p>
        </w:tc>
        <w:tc>
          <w:tcPr>
            <w:tcMar>
              <w:top w:type="dxa" w:w="50"/>
              <w:left w:type="dxa" w:w="100"/>
              <w:bottom w:type="dxa" w:w="50"/>
              <w:right w:type="dxa" w:w="100"/>
            </w:tcMar>
          </w:tcPr>
          <w:p>
            <w:r>
              <w:rPr>
                <w:rFonts w:ascii="Times New Roman"/>
                <w:color w:val="1A1A1A"/>
                <w:sz w:val="20"/>
                <w:szCs w:val="20"/>
              </w:rPr>
              <w:t xml:space="preserve">Margin ratio &lt; 10%</w:t>
            </w:r>
          </w:p>
        </w:tc>
        <w:tc>
          <w:tcPr>
            <w:tcMar>
              <w:top w:type="dxa" w:w="50"/>
              <w:left w:type="dxa" w:w="100"/>
              <w:bottom w:type="dxa" w:w="50"/>
              <w:right w:type="dxa" w:w="100"/>
            </w:tcMar>
          </w:tcPr>
          <w:p>
            <w:r>
              <w:rPr>
                <w:rFonts w:ascii="Times New Roman"/>
                <w:color w:val="1A1A1A"/>
                <w:sz w:val="20"/>
                <w:szCs w:val="20"/>
              </w:rPr>
              <w:t xml:space="preserve">Margin ratio &lt; 10%</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Liquidation Threshold</w:t>
            </w:r>
          </w:p>
        </w:tc>
        <w:tc>
          <w:tcPr>
            <w:shd w:fill="EDF3F5" w:val="clear"/>
            <w:tcMar>
              <w:top w:type="dxa" w:w="50"/>
              <w:left w:type="dxa" w:w="100"/>
              <w:bottom w:type="dxa" w:w="50"/>
              <w:right w:type="dxa" w:w="100"/>
            </w:tcMar>
          </w:tcPr>
          <w:p>
            <w:r>
              <w:rPr>
                <w:rFonts w:ascii="Times New Roman"/>
                <w:color w:val="1A1A1A"/>
                <w:sz w:val="20"/>
                <w:szCs w:val="20"/>
              </w:rPr>
              <w:t xml:space="preserve">Margin ratio &lt; 5%</w:t>
            </w:r>
          </w:p>
        </w:tc>
        <w:tc>
          <w:tcPr>
            <w:shd w:fill="EDF3F5" w:val="clear"/>
            <w:tcMar>
              <w:top w:type="dxa" w:w="50"/>
              <w:left w:type="dxa" w:w="100"/>
              <w:bottom w:type="dxa" w:w="50"/>
              <w:right w:type="dxa" w:w="100"/>
            </w:tcMar>
          </w:tcPr>
          <w:p>
            <w:r>
              <w:rPr>
                <w:rFonts w:ascii="Times New Roman"/>
                <w:color w:val="1A1A1A"/>
                <w:sz w:val="20"/>
                <w:szCs w:val="20"/>
              </w:rPr>
              <w:t xml:space="preserve">Margin ratio &lt; 5%</w:t>
            </w:r>
          </w:p>
        </w:tc>
      </w:tr>
    </w:tbl>
    <w:p>
      <w:pPr>
        <w:spacing w:after="60" w:before="60"/>
      </w:pPr>
    </w:p>
    <w:p>
      <w:pPr>
        <w:pStyle w:val="Heading2"/>
        <w:spacing w:after="160" w:before="360" w:line="312"/>
      </w:pPr>
      <w:bookmarkStart w:id="100020" w:name="_Toc100020"/>
      <w:r>
        <w:rPr>
          <w:rFonts w:ascii="Times New Roman"/>
          <w:b/>
          <w:bCs/>
          <w:color w:val="0F2027"/>
          <w:sz w:val="30"/>
          <w:szCs w:val="30"/>
        </w:rPr>
        <w:t xml:space="preserve">2.5 Futures Trading</w:t>
      </w:r>
      <w:bookmarkEnd w:id="100020"/>
    </w:p>
    <w:p>
      <w:pPr>
        <w:pStyle w:val="Heading3"/>
        <w:spacing w:after="120" w:before="240" w:line="312"/>
      </w:pPr>
      <w:bookmarkStart w:id="100021" w:name="_Toc100021"/>
      <w:r>
        <w:rPr>
          <w:rFonts w:ascii="Times New Roman"/>
          <w:b/>
          <w:bCs/>
          <w:color w:val="4A6575"/>
          <w:sz w:val="26"/>
          <w:szCs w:val="26"/>
        </w:rPr>
        <w:t xml:space="preserve">2.5.1 Perpetual Futures</w:t>
      </w:r>
      <w:bookmarkEnd w:id="100021"/>
    </w:p>
    <w:p>
      <w:pPr>
        <w:spacing w:after="120" w:line="312"/>
        <w:jc w:val="both"/>
      </w:pPr>
      <w:r>
        <w:rPr>
          <w:rFonts w:ascii="Times New Roman"/>
          <w:color w:val="1A1A1A"/>
          <w:sz w:val="22"/>
          <w:szCs w:val="22"/>
        </w:rPr>
        <w:t xml:space="preserve">Perpetual futures are derivative contracts that have no expiration date, allowing traders to hold positions indefinitely. Unlike traditional futures, perpetual contracts use a funding rate mechanism to anchor the contract price to the underlying spot price. When the perpetual trades at a premium to spot (positive funding rate), longs pay shorts, incentivizing selling and pulling the price back toward spot. When the perpetual trades at a discount (negative funding rate), shorts pay longs, incentivizing buying. Funding rates are calculated every 8 hours (at 00:00, 08:00, 16:00 UTC) based on the difference between the mark price and the index price.</w:t>
      </w:r>
    </w:p>
    <w:p>
      <w:pPr>
        <w:spacing w:after="120" w:line="312"/>
        <w:jc w:val="both"/>
      </w:pPr>
      <w:r>
        <w:rPr>
          <w:rFonts w:ascii="Times New Roman"/>
          <w:color w:val="1A1A1A"/>
          <w:sz w:val="22"/>
          <w:szCs w:val="22"/>
        </w:rPr>
        <w:t xml:space="preserve">The mark price is derived from a combination of the index price (an aggregate of spot prices from multiple exchanges) and a decaying funding basis, ensuring that the mark price reflects the true market value even during periods of high volatility or low liquidity. This prevents unnecessary liquidations caused by temporary price spikes or dips on any single exchange. The platform supports inverse contracts (margin and settlement in the base currency, e.g., BTC) and linear contracts (margin and settlement in the quote currency, e.g., USDT), with leverage up to 125x on major pairs.</w:t>
      </w:r>
    </w:p>
    <w:p>
      <w:pPr>
        <w:pStyle w:val="Heading3"/>
        <w:spacing w:after="120" w:before="240" w:line="312"/>
      </w:pPr>
      <w:bookmarkStart w:id="100022" w:name="_Toc100022"/>
      <w:r>
        <w:rPr>
          <w:rFonts w:ascii="Times New Roman"/>
          <w:b/>
          <w:bCs/>
          <w:color w:val="4A6575"/>
          <w:sz w:val="26"/>
          <w:szCs w:val="26"/>
        </w:rPr>
        <w:t xml:space="preserve">2.5.2 Delivery Futures</w:t>
      </w:r>
      <w:bookmarkEnd w:id="100022"/>
    </w:p>
    <w:p>
      <w:pPr>
        <w:spacing w:after="120" w:line="312"/>
        <w:jc w:val="both"/>
      </w:pPr>
      <w:r>
        <w:rPr>
          <w:rFonts w:ascii="Times New Roman"/>
          <w:color w:val="1A1A1A"/>
          <w:sz w:val="22"/>
          <w:szCs w:val="22"/>
        </w:rPr>
        <w:t xml:space="preserve">Delivery futures have a defined expiration date (daily, weekly, monthly, or quarterly), at which point all open positions are settled at the final settlement price. The settlement price is determined by an arithmetic average of the index price over the final hour (or final 30 minutes, depending on the contract specification) to prevent manipulation at the settlement moment. Before expiration, traders can either close their position manually or let it settle automatically. Delivery futures are particularly useful for hedging and speculative purposes tied to specific time horizons, and they are available in both inverse and linear variants.</w:t>
      </w:r>
    </w:p>
    <w:p>
      <w:pPr>
        <w:pStyle w:val="Heading3"/>
        <w:spacing w:after="120" w:before="240" w:line="312"/>
      </w:pPr>
      <w:bookmarkStart w:id="100023" w:name="_Toc100023"/>
      <w:r>
        <w:rPr>
          <w:rFonts w:ascii="Times New Roman"/>
          <w:b/>
          <w:bCs/>
          <w:color w:val="4A6575"/>
          <w:sz w:val="26"/>
          <w:szCs w:val="26"/>
        </w:rPr>
        <w:t xml:space="preserve">2.5.3 Risk Management and Liquidation Engine</w:t>
      </w:r>
      <w:bookmarkEnd w:id="100023"/>
    </w:p>
    <w:p>
      <w:pPr>
        <w:spacing w:after="120" w:line="312"/>
        <w:jc w:val="both"/>
      </w:pPr>
      <w:r>
        <w:rPr>
          <w:rFonts w:ascii="Times New Roman"/>
          <w:color w:val="1A1A1A"/>
          <w:sz w:val="22"/>
          <w:szCs w:val="22"/>
        </w:rPr>
        <w:t xml:space="preserve">The futures risk engine calculates the unrealized profit and loss (PnL) for every open position using the mark price, and maintains a real-time margin balance for each account. The maintenance margin requirement scales with position size and leverage, following a tiered model where larger positions require progressively higher margin ratios. The liquidation engine operates as a separate, high-priority process that continuously scans for accounts where the margin balance falls below the maintenance margin. When detected, the engine attempts to partially or fully close the position through an internal liquidation market, where designated liquidation accounts (or other platform users acting as liquidators) take over the position at a favorable price, with the liquidation penalty covering the execution risk.</w:t>
      </w:r>
    </w:p>
    <w:p>
      <w:pPr>
        <w:spacing w:after="120" w:line="312"/>
        <w:jc w:val="both"/>
      </w:pPr>
      <w:r>
        <w:rPr>
          <w:rFonts w:ascii="Times New Roman"/>
          <w:color w:val="1A1A1A"/>
          <w:sz w:val="22"/>
          <w:szCs w:val="22"/>
        </w:rPr>
        <w:t xml:space="preserve">The Auto-Deleveraging (ADL) system activates only when the insurance fund is depleted and liquidations cannot be fully processed through the normal liquidation mechanism. ADL ranks all positions by profit and leverage, and begins deleveraging the most profitable and highly leveraged positions first, ensuring that the impact is distributed fairly across the user base. This cascading mechanism is a last resort and its activation triggers immediate operational response including insurance fund replenishment and risk parameter adjustments.</w:t>
      </w:r>
    </w:p>
    <w:p>
      <w:pPr>
        <w:spacing w:after="60" w:before="60"/>
      </w:pPr>
    </w:p>
    <w:p>
      <w:pPr>
        <w:pStyle w:val="Heading2"/>
        <w:spacing w:after="160" w:before="360" w:line="312"/>
      </w:pPr>
      <w:bookmarkStart w:id="100024" w:name="_Toc100024"/>
      <w:r>
        <w:rPr>
          <w:rFonts w:ascii="Times New Roman"/>
          <w:b/>
          <w:bCs/>
          <w:color w:val="0F2027"/>
          <w:sz w:val="30"/>
          <w:szCs w:val="30"/>
        </w:rPr>
        <w:t xml:space="preserve">2.6 Options Trading</w:t>
      </w:r>
      <w:bookmarkEnd w:id="100024"/>
    </w:p>
    <w:p>
      <w:pPr>
        <w:spacing w:after="120" w:line="312"/>
        <w:jc w:val="both"/>
      </w:pPr>
      <w:r>
        <w:rPr>
          <w:rFonts w:ascii="Times New Roman"/>
          <w:color w:val="1A1A1A"/>
          <w:sz w:val="22"/>
          <w:szCs w:val="22"/>
        </w:rPr>
        <w:t xml:space="preserve">The options trading module supports European-style call and put options on major cryptocurrency assets. European options can only be exercised at expiration, not before, simplifying the pricing model and risk management. Option contracts are defined by the underlying asset, strike price, expiration date, and option type (call or put). The options engine calculates real-time mark-to-market values using a Black-Scholes-inspired pricing model adapted for cryptocurrency volatility characteristics (high base volatility, fat-tailed return distributions, and volatility clustering).</w:t>
      </w:r>
    </w:p>
    <w:p>
      <w:pPr>
        <w:spacing w:after="120" w:line="312"/>
        <w:jc w:val="both"/>
      </w:pPr>
      <w:r>
        <w:rPr>
          <w:rFonts w:ascii="Times New Roman"/>
          <w:color w:val="1A1A1A"/>
          <w:sz w:val="22"/>
          <w:szCs w:val="22"/>
        </w:rPr>
        <w:t xml:space="preserve">Options settlement uses the difference between the settlement price and the strike price for in-the-money options, settled in the quote currency (USDT) or base currency depending on the contract specification. Writers of options must post margin equal to the maximum potential loss (for naked options) or the spread (for covered or spread strategies). The risk engine enforces position limits per user, per strike, and per expiration to prevent excessive concentration of risk. Options can be combined into spreads (vertical, calendar, butterfly, straddle, strangle) for more sophisticated risk-reward profiles.</w:t>
      </w:r>
    </w:p>
    <w:p>
      <w:pPr>
        <w:spacing w:after="60" w:before="60"/>
      </w:pPr>
    </w:p>
    <w:p>
      <w:pPr>
        <w:pStyle w:val="Heading2"/>
        <w:spacing w:after="160" w:before="360" w:line="312"/>
      </w:pPr>
      <w:bookmarkStart w:id="100025" w:name="_Toc100025"/>
      <w:r>
        <w:rPr>
          <w:rFonts w:ascii="Times New Roman"/>
          <w:b/>
          <w:bCs/>
          <w:color w:val="0F2027"/>
          <w:sz w:val="30"/>
          <w:szCs w:val="30"/>
        </w:rPr>
        <w:t xml:space="preserve">2.7 Staking and Earn Products</w:t>
      </w:r>
      <w:bookmarkEnd w:id="100025"/>
    </w:p>
    <w:p>
      <w:pPr>
        <w:pStyle w:val="Heading3"/>
        <w:spacing w:after="120" w:before="240" w:line="312"/>
      </w:pPr>
      <w:bookmarkStart w:id="100026" w:name="_Toc100026"/>
      <w:r>
        <w:rPr>
          <w:rFonts w:ascii="Times New Roman"/>
          <w:b/>
          <w:bCs/>
          <w:color w:val="4A6575"/>
          <w:sz w:val="26"/>
          <w:szCs w:val="26"/>
        </w:rPr>
        <w:t xml:space="preserve">2.7.1 Staking</w:t>
      </w:r>
      <w:bookmarkEnd w:id="100026"/>
    </w:p>
    <w:p>
      <w:pPr>
        <w:spacing w:after="120" w:line="312"/>
        <w:jc w:val="both"/>
      </w:pPr>
      <w:r>
        <w:rPr>
          <w:rFonts w:ascii="Times New Roman"/>
          <w:color w:val="1A1A1A"/>
          <w:sz w:val="22"/>
          <w:szCs w:val="22"/>
        </w:rPr>
        <w:t xml:space="preserve">The staking system supports both Locked Staking (fixed-duration staking with higher APY, where users commit their tokens for a specified period of 7, 14, 30, 60, or 90 days) and Flexible Staking (no lock-up period, lower APY, users can unstake at any time with earnings calculated up to the point of unstaking). Staking rewards are generated through on-chain participation in Proof-of-Stake (PoS) networks (Ethereum 2.0, Solana, Polygon, Cardano, Polkadot, etc.) and through the exchange's own reward pool for non-PoS assets. Rewards are distributed daily and auto-compounded if the user opts in.</w:t>
      </w:r>
    </w:p>
    <w:p>
      <w:pPr>
        <w:pStyle w:val="Heading3"/>
        <w:spacing w:after="120" w:before="240" w:line="312"/>
      </w:pPr>
      <w:bookmarkStart w:id="100027" w:name="_Toc100027"/>
      <w:r>
        <w:rPr>
          <w:rFonts w:ascii="Times New Roman"/>
          <w:b/>
          <w:bCs/>
          <w:color w:val="4A6575"/>
          <w:sz w:val="26"/>
          <w:szCs w:val="26"/>
        </w:rPr>
        <w:t xml:space="preserve">2.7.2 Earn Products</w:t>
      </w:r>
      <w:bookmarkEnd w:id="100027"/>
    </w:p>
    <w:p>
      <w:pPr>
        <w:spacing w:after="120" w:line="312"/>
        <w:jc w:val="both"/>
      </w:pPr>
      <w:r>
        <w:rPr>
          <w:rFonts w:ascii="Times New Roman"/>
          <w:color w:val="1A1A1A"/>
          <w:sz w:val="22"/>
          <w:szCs w:val="22"/>
        </w:rPr>
        <w:t xml:space="preserve">The Earn platform includes Savings (variable-rate lending where users supply assets that are lent to margin traders and institutional borrowers), Yield Farming (automated portfolio allocation across DeFi protocols through the exchange's custodial DeFi infrastructure), and Liquidity Pools (AMM-based pools where users provide liquidity in pairs and earn trading fees proportional to their share). Each product has different risk levels, lock-up periods, and expected returns, clearly disclosed to users before subscription. A risk assessment questionnaire ensures users understand the risks before investing in higher-yield products.</w:t>
      </w:r>
    </w:p>
    <w:p>
      <w:pPr>
        <w:spacing w:after="60" w:before="60"/>
      </w:pPr>
    </w:p>
    <w:p>
      <w:pPr>
        <w:pStyle w:val="Heading2"/>
        <w:spacing w:after="160" w:before="360" w:line="312"/>
      </w:pPr>
      <w:bookmarkStart w:id="100028" w:name="_Toc100028"/>
      <w:r>
        <w:rPr>
          <w:rFonts w:ascii="Times New Roman"/>
          <w:b/>
          <w:bCs/>
          <w:color w:val="0F2027"/>
          <w:sz w:val="30"/>
          <w:szCs w:val="30"/>
        </w:rPr>
        <w:t xml:space="preserve">2.8 NFT Marketplace</w:t>
      </w:r>
      <w:bookmarkEnd w:id="100028"/>
    </w:p>
    <w:p>
      <w:pPr>
        <w:spacing w:after="120" w:line="312"/>
        <w:jc w:val="both"/>
      </w:pPr>
      <w:r>
        <w:rPr>
          <w:rFonts w:ascii="Times New Roman"/>
          <w:color w:val="1A1A1A"/>
          <w:sz w:val="22"/>
          <w:szCs w:val="22"/>
        </w:rPr>
        <w:t xml:space="preserve">The NFT marketplace supports minting, buying, selling, and auctioning non-fungible tokens across multiple blockchain standards (ERC-721, ERC-1155 on Ethereum/Polygon/BSC, and SPL on Solana). Creators can mint NFTs directly on the platform with configurable royalty percentages (0-50%) that are enforced at the smart contract level, ensuring creators receive secondary sale royalties. The marketplace supports fixed-price listings, English auctions (ascending price with minimum bid increments), and Dutch auctions (descending price). The platform verifies collections through a curated selection process and applies metadata validation to prevent spam and fraudulent NFTs.</w:t>
      </w:r>
    </w:p>
    <w:p>
      <w:pPr>
        <w:spacing w:after="60" w:before="60"/>
      </w:pPr>
    </w:p>
    <w:p>
      <w:pPr>
        <w:pStyle w:val="Heading2"/>
        <w:spacing w:after="160" w:before="360" w:line="312"/>
      </w:pPr>
      <w:bookmarkStart w:id="100029" w:name="_Toc100029"/>
      <w:r>
        <w:rPr>
          <w:rFonts w:ascii="Times New Roman"/>
          <w:b/>
          <w:bCs/>
          <w:color w:val="0F2027"/>
          <w:sz w:val="30"/>
          <w:szCs w:val="30"/>
        </w:rPr>
        <w:t xml:space="preserve">2.9 P2P Trading</w:t>
      </w:r>
      <w:bookmarkEnd w:id="100029"/>
    </w:p>
    <w:p>
      <w:pPr>
        <w:spacing w:after="120" w:line="312"/>
        <w:jc w:val="both"/>
      </w:pPr>
      <w:r>
        <w:rPr>
          <w:rFonts w:ascii="Times New Roman"/>
          <w:color w:val="1A1A1A"/>
          <w:sz w:val="22"/>
          <w:szCs w:val="22"/>
        </w:rPr>
        <w:t xml:space="preserve">The peer-to-peer (P2P) trading platform connects buyers and sellers of fiat and cryptocurrency directly, with the exchange acting as an escrow service. When a trade is initiated, the seller's crypto is locked in an escrow smart contract (or the exchange's custodial escrow for non-smart-contract chains). The buyer then completes the fiat payment through their preferred method (bank transfer, cash deposit, mobile money, etc.). Upon confirming receipt of payment, the crypto is released from escrow to the buyer. A dispute resolution system allows either party to raise a dispute, which is handled by a dedicated arbitration team with evidence-based resolution.</w:t>
      </w:r>
    </w:p>
    <w:p>
      <w:pPr>
        <w:spacing w:after="120" w:line="312"/>
        <w:jc w:val="both"/>
      </w:pPr>
      <w:r>
        <w:rPr>
          <w:rFonts w:ascii="Times New Roman"/>
          <w:color w:val="1A1A1A"/>
          <w:sz w:val="22"/>
          <w:szCs w:val="22"/>
        </w:rPr>
        <w:t xml:space="preserve">Merchant accounts provide P2P sellers with enhanced tools including bulk listing, automated pricing, order management dashboards, and reduced fees in exchange for maintaining high completion rates and low dispute rates. Merchants must stake a security deposit proportional to their advertised volume, which is slashed in the event of confirmed fraud. Advertisers are ranked by a reputation score based on trade volume, completion rate, dispute rate, and average trade speed.</w:t>
      </w:r>
    </w:p>
    <w:p>
      <w:pPr>
        <w:spacing w:after="60" w:before="60"/>
      </w:pPr>
    </w:p>
    <w:p>
      <w:pPr>
        <w:pStyle w:val="Heading2"/>
        <w:spacing w:after="160" w:before="360" w:line="312"/>
      </w:pPr>
      <w:bookmarkStart w:id="100030" w:name="_Toc100030"/>
      <w:r>
        <w:rPr>
          <w:rFonts w:ascii="Times New Roman"/>
          <w:b/>
          <w:bCs/>
          <w:color w:val="0F2027"/>
          <w:sz w:val="30"/>
          <w:szCs w:val="30"/>
        </w:rPr>
        <w:t xml:space="preserve">2.10 Copy Trading</w:t>
      </w:r>
      <w:bookmarkEnd w:id="100030"/>
    </w:p>
    <w:p>
      <w:pPr>
        <w:spacing w:after="120" w:line="312"/>
        <w:jc w:val="both"/>
      </w:pPr>
      <w:r>
        <w:rPr>
          <w:rFonts w:ascii="Times New Roman"/>
          <w:color w:val="1A1A1A"/>
          <w:sz w:val="22"/>
          <w:szCs w:val="22"/>
        </w:rPr>
        <w:t xml:space="preserve">The copy trading system allows users to automatically replicate the trades of designated Lead Traders. Lead Traders are approved accounts that meet minimum performance criteria (minimum trading history of 90 days, minimum followers of 100, positive return over the evaluation period). Followers allocate a portion of their portfolio to copy a Lead Trader, with proportional position sizing and optional leverage multiplier. The system supports partial copying (specific trading pairs or strategies), stop-copy triggers (stop copying if drawdown exceeds a threshold), and profit-sharing where Lead Traders earn a percentage of the profits generated for their followers.</w:t>
      </w:r>
    </w:p>
    <w:p>
      <w:pPr>
        <w:spacing w:after="60" w:before="60"/>
      </w:pPr>
    </w:p>
    <w:p>
      <w:pPr>
        <w:pStyle w:val="Heading2"/>
        <w:spacing w:after="160" w:before="360" w:line="312"/>
      </w:pPr>
      <w:bookmarkStart w:id="100031" w:name="_Toc100031"/>
      <w:r>
        <w:rPr>
          <w:rFonts w:ascii="Times New Roman"/>
          <w:b/>
          <w:bCs/>
          <w:color w:val="0F2027"/>
          <w:sz w:val="30"/>
          <w:szCs w:val="30"/>
        </w:rPr>
        <w:t xml:space="preserve">2.11 API Platform</w:t>
      </w:r>
      <w:bookmarkEnd w:id="100031"/>
    </w:p>
    <w:p>
      <w:pPr>
        <w:keepNext/>
        <w:spacing w:after="80" w:before="200" w:line="312"/>
      </w:pPr>
      <w:r>
        <w:rPr>
          <w:rFonts w:ascii="Times New Roman"/>
          <w:b/>
          <w:bCs/>
          <w:i/>
          <w:iCs/>
          <w:color w:val="4A6575"/>
          <w:sz w:val="20"/>
          <w:szCs w:val="20"/>
        </w:rPr>
        <w:t xml:space="preserve">Table 2.4: API Interface Specifications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API Type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Protocol</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Use Case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Rate Limit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Latency Target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REST API</w:t>
            </w:r>
          </w:p>
        </w:tc>
        <w:tc>
          <w:tcPr>
            <w:shd w:fill="EDF3F5" w:val="clear"/>
            <w:tcMar>
              <w:top w:type="dxa" w:w="50"/>
              <w:left w:type="dxa" w:w="100"/>
              <w:bottom w:type="dxa" w:w="50"/>
              <w:right w:type="dxa" w:w="100"/>
            </w:tcMar>
          </w:tcPr>
          <w:p>
            <w:r>
              <w:rPr>
                <w:rFonts w:ascii="Times New Roman"/>
                <w:color w:val="1A1A1A"/>
                <w:sz w:val="20"/>
                <w:szCs w:val="20"/>
              </w:rPr>
              <w:t xml:space="preserve">HTTPS/JSON</w:t>
            </w:r>
          </w:p>
        </w:tc>
        <w:tc>
          <w:tcPr>
            <w:shd w:fill="EDF3F5" w:val="clear"/>
            <w:tcMar>
              <w:top w:type="dxa" w:w="50"/>
              <w:left w:type="dxa" w:w="100"/>
              <w:bottom w:type="dxa" w:w="50"/>
              <w:right w:type="dxa" w:w="100"/>
            </w:tcMar>
          </w:tcPr>
          <w:p>
            <w:r>
              <w:rPr>
                <w:rFonts w:ascii="Times New Roman"/>
                <w:color w:val="1A1A1A"/>
                <w:sz w:val="20"/>
                <w:szCs w:val="20"/>
              </w:rPr>
              <w:t xml:space="preserve">Account management, order placement</w:t>
            </w:r>
          </w:p>
        </w:tc>
        <w:tc>
          <w:tcPr>
            <w:shd w:fill="EDF3F5" w:val="clear"/>
            <w:tcMar>
              <w:top w:type="dxa" w:w="50"/>
              <w:left w:type="dxa" w:w="100"/>
              <w:bottom w:type="dxa" w:w="50"/>
              <w:right w:type="dxa" w:w="100"/>
            </w:tcMar>
          </w:tcPr>
          <w:p>
            <w:r>
              <w:rPr>
                <w:rFonts w:ascii="Times New Roman"/>
                <w:color w:val="1A1A1A"/>
                <w:sz w:val="20"/>
                <w:szCs w:val="20"/>
              </w:rPr>
              <w:t xml:space="preserve">1200 req/min</w:t>
            </w:r>
          </w:p>
        </w:tc>
        <w:tc>
          <w:tcPr>
            <w:shd w:fill="EDF3F5" w:val="clear"/>
            <w:tcMar>
              <w:top w:type="dxa" w:w="50"/>
              <w:left w:type="dxa" w:w="100"/>
              <w:bottom w:type="dxa" w:w="50"/>
              <w:right w:type="dxa" w:w="100"/>
            </w:tcMar>
          </w:tcPr>
          <w:p>
            <w:r>
              <w:rPr>
                <w:rFonts w:ascii="Times New Roman"/>
                <w:color w:val="1A1A1A"/>
                <w:sz w:val="20"/>
                <w:szCs w:val="20"/>
              </w:rPr>
              <w:t xml:space="preserve">&lt; 100ms</w:t>
            </w:r>
          </w:p>
        </w:tc>
      </w:tr>
      <w:tr>
        <w:trPr>
          <w:cantSplit/>
        </w:trPr>
        <w:tc>
          <w:tcPr>
            <w:tcMar>
              <w:top w:type="dxa" w:w="50"/>
              <w:left w:type="dxa" w:w="100"/>
              <w:bottom w:type="dxa" w:w="50"/>
              <w:right w:type="dxa" w:w="100"/>
            </w:tcMar>
          </w:tcPr>
          <w:p>
            <w:r>
              <w:rPr>
                <w:rFonts w:ascii="Times New Roman"/>
                <w:color w:val="1A1A1A"/>
                <w:sz w:val="20"/>
                <w:szCs w:val="20"/>
              </w:rPr>
              <w:t xml:space="preserve">WebSocket API</w:t>
            </w:r>
          </w:p>
        </w:tc>
        <w:tc>
          <w:tcPr>
            <w:tcMar>
              <w:top w:type="dxa" w:w="50"/>
              <w:left w:type="dxa" w:w="100"/>
              <w:bottom w:type="dxa" w:w="50"/>
              <w:right w:type="dxa" w:w="100"/>
            </w:tcMar>
          </w:tcPr>
          <w:p>
            <w:r>
              <w:rPr>
                <w:rFonts w:ascii="Times New Roman"/>
                <w:color w:val="1A1A1A"/>
                <w:sz w:val="20"/>
                <w:szCs w:val="20"/>
              </w:rPr>
              <w:t xml:space="preserve">WSS/JSON</w:t>
            </w:r>
          </w:p>
        </w:tc>
        <w:tc>
          <w:tcPr>
            <w:tcMar>
              <w:top w:type="dxa" w:w="50"/>
              <w:left w:type="dxa" w:w="100"/>
              <w:bottom w:type="dxa" w:w="50"/>
              <w:right w:type="dxa" w:w="100"/>
            </w:tcMar>
          </w:tcPr>
          <w:p>
            <w:r>
              <w:rPr>
                <w:rFonts w:ascii="Times New Roman"/>
                <w:color w:val="1A1A1A"/>
                <w:sz w:val="20"/>
                <w:szCs w:val="20"/>
              </w:rPr>
              <w:t xml:space="preserve">Real-time market data, order updates</w:t>
            </w:r>
          </w:p>
        </w:tc>
        <w:tc>
          <w:tcPr>
            <w:tcMar>
              <w:top w:type="dxa" w:w="50"/>
              <w:left w:type="dxa" w:w="100"/>
              <w:bottom w:type="dxa" w:w="50"/>
              <w:right w:type="dxa" w:w="100"/>
            </w:tcMar>
          </w:tcPr>
          <w:p>
            <w:r>
              <w:rPr>
                <w:rFonts w:ascii="Times New Roman"/>
                <w:color w:val="1A1A1A"/>
                <w:sz w:val="20"/>
                <w:szCs w:val="20"/>
              </w:rPr>
              <w:t xml:space="preserve">10 msgs/sec</w:t>
            </w:r>
          </w:p>
        </w:tc>
        <w:tc>
          <w:tcPr>
            <w:tcMar>
              <w:top w:type="dxa" w:w="50"/>
              <w:left w:type="dxa" w:w="100"/>
              <w:bottom w:type="dxa" w:w="50"/>
              <w:right w:type="dxa" w:w="100"/>
            </w:tcMar>
          </w:tcPr>
          <w:p>
            <w:r>
              <w:rPr>
                <w:rFonts w:ascii="Times New Roman"/>
                <w:color w:val="1A1A1A"/>
                <w:sz w:val="20"/>
                <w:szCs w:val="20"/>
              </w:rPr>
              <w:t xml:space="preserve">&lt; 10ms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FIX API</w:t>
            </w:r>
          </w:p>
        </w:tc>
        <w:tc>
          <w:tcPr>
            <w:shd w:fill="EDF3F5" w:val="clear"/>
            <w:tcMar>
              <w:top w:type="dxa" w:w="50"/>
              <w:left w:type="dxa" w:w="100"/>
              <w:bottom w:type="dxa" w:w="50"/>
              <w:right w:type="dxa" w:w="100"/>
            </w:tcMar>
          </w:tcPr>
          <w:p>
            <w:r>
              <w:rPr>
                <w:rFonts w:ascii="Times New Roman"/>
                <w:color w:val="1A1A1A"/>
                <w:sz w:val="20"/>
                <w:szCs w:val="20"/>
              </w:rPr>
              <w:t xml:space="preserve">TCP/FIX 4.4</w:t>
            </w:r>
          </w:p>
        </w:tc>
        <w:tc>
          <w:tcPr>
            <w:shd w:fill="EDF3F5" w:val="clear"/>
            <w:tcMar>
              <w:top w:type="dxa" w:w="50"/>
              <w:left w:type="dxa" w:w="100"/>
              <w:bottom w:type="dxa" w:w="50"/>
              <w:right w:type="dxa" w:w="100"/>
            </w:tcMar>
          </w:tcPr>
          <w:p>
            <w:r>
              <w:rPr>
                <w:rFonts w:ascii="Times New Roman"/>
                <w:color w:val="1A1A1A"/>
                <w:sz w:val="20"/>
                <w:szCs w:val="20"/>
              </w:rPr>
              <w:t xml:space="preserve">Institutional order routing</w:t>
            </w:r>
          </w:p>
        </w:tc>
        <w:tc>
          <w:tcPr>
            <w:shd w:fill="EDF3F5" w:val="clear"/>
            <w:tcMar>
              <w:top w:type="dxa" w:w="50"/>
              <w:left w:type="dxa" w:w="100"/>
              <w:bottom w:type="dxa" w:w="50"/>
              <w:right w:type="dxa" w:w="100"/>
            </w:tcMar>
          </w:tcPr>
          <w:p>
            <w:r>
              <w:rPr>
                <w:rFonts w:ascii="Times New Roman"/>
                <w:color w:val="1A1A1A"/>
                <w:sz w:val="20"/>
                <w:szCs w:val="20"/>
              </w:rPr>
              <w:t xml:space="preserve">Dedicated</w:t>
            </w:r>
          </w:p>
        </w:tc>
        <w:tc>
          <w:tcPr>
            <w:shd w:fill="EDF3F5" w:val="clear"/>
            <w:tcMar>
              <w:top w:type="dxa" w:w="50"/>
              <w:left w:type="dxa" w:w="100"/>
              <w:bottom w:type="dxa" w:w="50"/>
              <w:right w:type="dxa" w:w="100"/>
            </w:tcMar>
          </w:tcPr>
          <w:p>
            <w:r>
              <w:rPr>
                <w:rFonts w:ascii="Times New Roman"/>
                <w:color w:val="1A1A1A"/>
                <w:sz w:val="20"/>
                <w:szCs w:val="20"/>
              </w:rPr>
              <w:t xml:space="preserve">&lt; 5ms</w:t>
            </w:r>
          </w:p>
        </w:tc>
      </w:tr>
      <w:tr>
        <w:trPr>
          <w:cantSplit/>
        </w:trPr>
        <w:tc>
          <w:tcPr>
            <w:tcMar>
              <w:top w:type="dxa" w:w="50"/>
              <w:left w:type="dxa" w:w="100"/>
              <w:bottom w:type="dxa" w:w="50"/>
              <w:right w:type="dxa" w:w="100"/>
            </w:tcMar>
          </w:tcPr>
          <w:p>
            <w:r>
              <w:rPr>
                <w:rFonts w:ascii="Times New Roman"/>
                <w:color w:val="1A1A1A"/>
                <w:sz w:val="20"/>
                <w:szCs w:val="20"/>
              </w:rPr>
              <w:t xml:space="preserve">Webhook API</w:t>
            </w:r>
          </w:p>
        </w:tc>
        <w:tc>
          <w:tcPr>
            <w:tcMar>
              <w:top w:type="dxa" w:w="50"/>
              <w:left w:type="dxa" w:w="100"/>
              <w:bottom w:type="dxa" w:w="50"/>
              <w:right w:type="dxa" w:w="100"/>
            </w:tcMar>
          </w:tcPr>
          <w:p>
            <w:r>
              <w:rPr>
                <w:rFonts w:ascii="Times New Roman"/>
                <w:color w:val="1A1A1A"/>
                <w:sz w:val="20"/>
                <w:szCs w:val="20"/>
              </w:rPr>
              <w:t xml:space="preserve">HTTPS/POST</w:t>
            </w:r>
          </w:p>
        </w:tc>
        <w:tc>
          <w:tcPr>
            <w:tcMar>
              <w:top w:type="dxa" w:w="50"/>
              <w:left w:type="dxa" w:w="100"/>
              <w:bottom w:type="dxa" w:w="50"/>
              <w:right w:type="dxa" w:w="100"/>
            </w:tcMar>
          </w:tcPr>
          <w:p>
            <w:r>
              <w:rPr>
                <w:rFonts w:ascii="Times New Roman"/>
                <w:color w:val="1A1A1A"/>
                <w:sz w:val="20"/>
                <w:szCs w:val="20"/>
              </w:rPr>
              <w:t xml:space="preserve">Trade notifications, deposit alerts</w:t>
            </w:r>
          </w:p>
        </w:tc>
        <w:tc>
          <w:tcPr>
            <w:tcMar>
              <w:top w:type="dxa" w:w="50"/>
              <w:left w:type="dxa" w:w="100"/>
              <w:bottom w:type="dxa" w:w="50"/>
              <w:right w:type="dxa" w:w="100"/>
            </w:tcMar>
          </w:tcPr>
          <w:p>
            <w:r>
              <w:rPr>
                <w:rFonts w:ascii="Times New Roman"/>
                <w:color w:val="1A1A1A"/>
                <w:sz w:val="20"/>
                <w:szCs w:val="20"/>
              </w:rPr>
              <w:t xml:space="preserve">100 req/min</w:t>
            </w:r>
          </w:p>
        </w:tc>
        <w:tc>
          <w:tcPr>
            <w:tcMar>
              <w:top w:type="dxa" w:w="50"/>
              <w:left w:type="dxa" w:w="100"/>
              <w:bottom w:type="dxa" w:w="50"/>
              <w:right w:type="dxa" w:w="100"/>
            </w:tcMar>
          </w:tcPr>
          <w:p>
            <w:r>
              <w:rPr>
                <w:rFonts w:ascii="Times New Roman"/>
                <w:color w:val="1A1A1A"/>
                <w:sz w:val="20"/>
                <w:szCs w:val="20"/>
              </w:rPr>
              <w:t xml:space="preserve">&lt; 500ms</w:t>
            </w:r>
          </w:p>
        </w:tc>
      </w:tr>
    </w:tbl>
    <w:p>
      <w:pPr>
        <w:spacing w:after="60" w:before="60"/>
      </w:pPr>
    </w:p>
    <w:p>
      <w:pPr>
        <w:pStyle w:val="Heading2"/>
        <w:spacing w:after="160" w:before="360" w:line="312"/>
      </w:pPr>
      <w:bookmarkStart w:id="100032" w:name="_Toc100032"/>
      <w:r>
        <w:rPr>
          <w:rFonts w:ascii="Times New Roman"/>
          <w:b/>
          <w:bCs/>
          <w:color w:val="0F2027"/>
          <w:sz w:val="30"/>
          <w:szCs w:val="30"/>
        </w:rPr>
        <w:t xml:space="preserve">2.12 Mobile Applications</w:t>
      </w:r>
      <w:bookmarkEnd w:id="100032"/>
    </w:p>
    <w:p>
      <w:pPr>
        <w:spacing w:after="120" w:line="312"/>
        <w:jc w:val="both"/>
      </w:pPr>
      <w:r>
        <w:rPr>
          <w:rFonts w:ascii="Times New Roman"/>
          <w:color w:val="1A1A1A"/>
          <w:sz w:val="22"/>
          <w:szCs w:val="22"/>
        </w:rPr>
        <w:t xml:space="preserve">Native mobile applications for iOS (Swift/SwiftUI) and Android (Kotlin/Jetpack Compose) provide the full trading experience on mobile devices. Core features include real-time candlestick charts with technical indicators, one-tap buy/sell, biometric authentication, push notifications for price alerts, order fills, and account security events, and a simplified deposit/withdrawal flow optimized for mobile. The mobile apps implement offline-capable architecture using local caching for portfolio data and market data, synchronizing with the server upon reconnection. Deep linking enables seamless transitions from notifications to specific screens within the app.</w:t>
      </w:r>
    </w:p>
    <w:p>
      <w:pPr>
        <w:pStyle w:val="Heading1"/>
        <w:spacing w:after="200" w:before="480" w:line="312"/>
      </w:pPr>
      <w:bookmarkStart w:id="100033" w:name="_Toc100033"/>
      <w:r>
        <w:rPr>
          <w:rFonts w:ascii="Times New Roman"/>
          <w:b/>
          <w:bCs/>
          <w:color w:val="0F2027"/>
          <w:sz w:val="36"/>
          <w:szCs w:val="36"/>
        </w:rPr>
        <w:t xml:space="preserve">Section 3: System Architecture</w:t>
      </w:r>
      <w:bookmarkEnd w:id="100033"/>
    </w:p>
    <w:p>
      <w:pPr>
        <w:pStyle w:val="Heading2"/>
        <w:spacing w:after="160" w:before="360" w:line="312"/>
      </w:pPr>
      <w:bookmarkStart w:id="100034" w:name="_Toc100034"/>
      <w:r>
        <w:rPr>
          <w:rFonts w:ascii="Times New Roman"/>
          <w:b/>
          <w:bCs/>
          <w:color w:val="0F2027"/>
          <w:sz w:val="30"/>
          <w:szCs w:val="30"/>
        </w:rPr>
        <w:t xml:space="preserve">3.1 High-Level Architecture</w:t>
      </w:r>
      <w:bookmarkEnd w:id="100034"/>
    </w:p>
    <w:p>
      <w:pPr>
        <w:spacing w:after="120" w:line="312"/>
        <w:jc w:val="both"/>
      </w:pPr>
      <w:r>
        <w:rPr>
          <w:rFonts w:ascii="Times New Roman"/>
          <w:color w:val="1A1A1A"/>
          <w:sz w:val="22"/>
          <w:szCs w:val="22"/>
        </w:rPr>
        <w:t xml:space="preserve">The exchange platform is built on a distributed microservice architecture designed for horizontal scalability, fault isolation, and independent deployability. The system follows an event-driven architecture pattern where microservices communicate primarily through asynchronous message queues (Apache Kafka), with synchronous communication via gRPC for real-time request-response patterns. The architecture is organized into logical domains: Trading Domain, Wallet Domain, User Domain, Compliance Domain, Market Data Domain, and Infrastructure Domain, each containing multiple microservices.</w:t>
      </w:r>
    </w:p>
    <w:p>
      <w:pPr>
        <w:shd w:fill="F0F4F8" w:val="clear"/>
        <w:spacing w:after="80" w:before="80" w:line="276"/>
        <w:ind w:left="200"/>
      </w:pPr>
      <w:r>
        <w:rPr>
          <w:rFonts w:ascii="Courier New"/>
          <w:color w:val="4A6575"/>
          <w:sz w:val="17"/>
          <w:szCs w:val="17"/>
        </w:rPr>
        <w:t xml:space="preserve">graph TB; Client[Client Apps] --&gt; Gateway[API Gateway / Load Balancer]; Gateway --&gt; Auth[Auth Service]; Gateway --&gt; Trading[Trading Services]; Gateway --&gt; Wallet[Wallet Services]; Gateway --&gt; User[User Services]; Gateway --&gt; Market[Market Data]; Trading --&gt; Matching[Matching Engine]; Trading --&gt; Risk[Risk Engine]; Wallet --&gt; Deposit[Deposit Processor]; Wallet --&gt; Withdrawal[Withdrawal Processor]; Wallet --&gt; Custody[Custody Manager]; Market --&gt; PriceFeed[Price Aggregator]; Market --&gt; Kafka[Event Bus - Kafka]; Auth --&gt; Redis[Session Cache]; Auth --&gt; DB[User Database];</w:t>
      </w:r>
    </w:p>
    <w:p>
      <w:pPr>
        <w:spacing w:after="60" w:before="60"/>
      </w:pPr>
    </w:p>
    <w:p>
      <w:pPr>
        <w:pStyle w:val="Heading2"/>
        <w:spacing w:after="160" w:before="360" w:line="312"/>
      </w:pPr>
      <w:bookmarkStart w:id="100035" w:name="_Toc100035"/>
      <w:r>
        <w:rPr>
          <w:rFonts w:ascii="Times New Roman"/>
          <w:b/>
          <w:bCs/>
          <w:color w:val="0F2027"/>
          <w:sz w:val="30"/>
          <w:szCs w:val="30"/>
        </w:rPr>
        <w:t xml:space="preserve">3.2 Microservice Architecture</w:t>
      </w:r>
      <w:bookmarkEnd w:id="100035"/>
    </w:p>
    <w:p>
      <w:pPr>
        <w:spacing w:after="120" w:line="312"/>
        <w:jc w:val="both"/>
      </w:pPr>
      <w:r>
        <w:rPr>
          <w:rFonts w:ascii="Times New Roman"/>
          <w:color w:val="1A1A1A"/>
          <w:sz w:val="22"/>
          <w:szCs w:val="22"/>
        </w:rPr>
        <w:t xml:space="preserve">Each microservice is built as a standalone container (Docker) and orchestrated through Kubernetes. Services are grouped by domain and deployed across multiple availability zones within each region. Inter-service communication follows the following principles: asynchronous communication via Kafka for event propagation (order created, trade executed, deposit detected), synchronous gRPC for query patterns (fetch user balance, check KYC status), and REST over HTTPS for external client-facing APIs. Each service maintains its own database (Database-per-Service pattern) to ensure loose coupling and independent scaling.</w:t>
      </w:r>
    </w:p>
    <w:p>
      <w:pPr>
        <w:spacing w:after="120" w:line="312"/>
        <w:jc w:val="both"/>
      </w:pPr>
      <w:r>
        <w:rPr>
          <w:rFonts w:ascii="Times New Roman"/>
          <w:color w:val="1A1A1A"/>
          <w:sz w:val="22"/>
          <w:szCs w:val="22"/>
        </w:rPr>
        <w:t xml:space="preserve">Core microservices include: User Service (registration, KYC, profile management), Authentication Service (login, MFA, session management), Trading Service (order submission, cancellation, modification), Matching Engine (order book management, trade execution), Market Data Service (price feeds, candlestick aggregation, order book snapshots), Wallet Service (balance management, address generation), Deposit Service (blockchain monitoring, fiat deposit processing), Withdrawal Service (blockchain broadcasting, fiat withdrawal processing), Risk Management Service (margin monitoring, liquidation, ADL), Compliance Service (AML screening, transaction monitoring), Notification Service (push, email, SMS), and Analytics Service (reporting, dashboards, audit logs).</w:t>
      </w:r>
    </w:p>
    <w:p>
      <w:pPr>
        <w:pStyle w:val="Heading2"/>
        <w:spacing w:after="160" w:before="360" w:line="312"/>
      </w:pPr>
      <w:bookmarkStart w:id="100036" w:name="_Toc100036"/>
      <w:r>
        <w:rPr>
          <w:rFonts w:ascii="Times New Roman"/>
          <w:b/>
          <w:bCs/>
          <w:color w:val="0F2027"/>
          <w:sz w:val="30"/>
          <w:szCs w:val="30"/>
        </w:rPr>
        <w:t xml:space="preserve">3.3 Event-Driven Architecture</w:t>
      </w:r>
      <w:bookmarkEnd w:id="100036"/>
    </w:p>
    <w:p>
      <w:pPr>
        <w:spacing w:after="120" w:line="312"/>
        <w:jc w:val="both"/>
      </w:pPr>
      <w:r>
        <w:rPr>
          <w:rFonts w:ascii="Times New Roman"/>
          <w:color w:val="1A1A1A"/>
          <w:sz w:val="22"/>
          <w:szCs w:val="22"/>
        </w:rPr>
        <w:t xml:space="preserve">Apache Kafka serves as the central event bus, providing durable, ordered, and replayable event streams. Every state change in the system produces an event: OrderPlaced, OrderMatched, TradeExecuted, DepositDetected, DepositConfirmed, WithdrawalRequested, WithdrawalApproved, PositionLiquidated, FundingRateSettled, UserRegistered, KYCVerified, and SecurityEventTriggered. Consumers subscribe to relevant topics and maintain their own materialized views of the data. This event sourcing approach enables complete audit trails, temporal queries, and replay-based debugging.</w:t>
      </w:r>
    </w:p>
    <w:p>
      <w:pPr>
        <w:spacing w:after="120" w:line="312"/>
        <w:jc w:val="both"/>
      </w:pPr>
      <w:r>
        <w:rPr>
          <w:rFonts w:ascii="Times New Roman"/>
          <w:color w:val="1A1A1A"/>
          <w:sz w:val="22"/>
          <w:szCs w:val="22"/>
        </w:rPr>
        <w:t xml:space="preserve">Kafka is deployed in a multi-datacenter active-active configuration using MirrorMaker 2 for cross-region replication. Topics are partitioned by key (e.g., user ID, trading pair) to ensure ordering within partitions while enabling parallelism across partitions. Event schema management uses Apache Avro with a centralized Schema Registry to enforce backward compatibility and prevent breaking changes. Dead letter queues capture events that fail processing, triggering alerts for manual intervention.</w:t>
      </w:r>
    </w:p>
    <w:p>
      <w:pPr>
        <w:pStyle w:val="Heading2"/>
        <w:spacing w:after="160" w:before="360" w:line="312"/>
      </w:pPr>
      <w:bookmarkStart w:id="100037" w:name="_Toc100037"/>
      <w:r>
        <w:rPr>
          <w:rFonts w:ascii="Times New Roman"/>
          <w:b/>
          <w:bCs/>
          <w:color w:val="0F2027"/>
          <w:sz w:val="30"/>
          <w:szCs w:val="30"/>
        </w:rPr>
        <w:t xml:space="preserve">3.4 API Gateway</w:t>
      </w:r>
      <w:bookmarkEnd w:id="100037"/>
    </w:p>
    <w:p>
      <w:pPr>
        <w:spacing w:after="120" w:line="312"/>
        <w:jc w:val="both"/>
      </w:pPr>
      <w:r>
        <w:rPr>
          <w:rFonts w:ascii="Times New Roman"/>
          <w:color w:val="1A1A1A"/>
          <w:sz w:val="22"/>
          <w:szCs w:val="22"/>
        </w:rPr>
        <w:t xml:space="preserve">The API Gateway (Kong or Envoy-based) serves as the single entry point for all client requests. It handles request routing, authentication verification (JWT validation, API key authentication), rate limiting (per-user, per-IP, per-endpoint), request/response transformation, CORS handling, and circuit breaking for backend services. The gateway is deployed as a fleet behind a Layer 4 load balancer (L4 for performance) with health checking and automatic failover. WebSocket connections for real-time data are upgraded at the gateway level and proxied to backend WebSocket services.</w:t>
      </w:r>
    </w:p>
    <w:p>
      <w:pPr>
        <w:spacing w:after="120" w:line="312"/>
        <w:jc w:val="both"/>
      </w:pPr>
      <w:r>
        <w:rPr>
          <w:rFonts w:ascii="Times New Roman"/>
          <w:color w:val="1A1A1A"/>
          <w:sz w:val="22"/>
          <w:szCs w:val="22"/>
        </w:rPr>
        <w:t xml:space="preserve">Rate limiting follows a token bucket algorithm with configurable per-user and per-endpoint limits. VIP and institutional users receive higher rate limits based on their account tier. The gateway implements a gradual degradation strategy: at 80% of rate limit, a warning header is returned; at 100%, requests are rejected with HTTP 429 and a Retry-After header. DDoS protection is provided by a combination of L3/L4 volumetric protection from the cloud provider and L7 behavioral analysis from a Web Application Firewall (WAF).</w:t>
      </w:r>
    </w:p>
    <w:p>
      <w:pPr>
        <w:keepNext/>
        <w:spacing w:after="80" w:before="200" w:line="312"/>
      </w:pPr>
      <w:r>
        <w:rPr>
          <w:rFonts w:ascii="Times New Roman"/>
          <w:b/>
          <w:bCs/>
          <w:i/>
          <w:iCs/>
          <w:color w:val="4A6575"/>
          <w:sz w:val="20"/>
          <w:szCs w:val="20"/>
        </w:rPr>
        <w:t xml:space="preserve">Table 3.1: Microservice Communication Patterns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Communication Type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Protocol</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Use Case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Latency</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Event Propagation</w:t>
            </w:r>
          </w:p>
        </w:tc>
        <w:tc>
          <w:tcPr>
            <w:shd w:fill="EDF3F5" w:val="clear"/>
            <w:tcMar>
              <w:top w:type="dxa" w:w="50"/>
              <w:left w:type="dxa" w:w="100"/>
              <w:bottom w:type="dxa" w:w="50"/>
              <w:right w:type="dxa" w:w="100"/>
            </w:tcMar>
          </w:tcPr>
          <w:p>
            <w:r>
              <w:rPr>
                <w:rFonts w:ascii="Times New Roman"/>
                <w:color w:val="1A1A1A"/>
                <w:sz w:val="20"/>
                <w:szCs w:val="20"/>
              </w:rPr>
              <w:t xml:space="preserve">Kafka</w:t>
            </w:r>
          </w:p>
        </w:tc>
        <w:tc>
          <w:tcPr>
            <w:shd w:fill="EDF3F5" w:val="clear"/>
            <w:tcMar>
              <w:top w:type="dxa" w:w="50"/>
              <w:left w:type="dxa" w:w="100"/>
              <w:bottom w:type="dxa" w:w="50"/>
              <w:right w:type="dxa" w:w="100"/>
            </w:tcMar>
          </w:tcPr>
          <w:p>
            <w:r>
              <w:rPr>
                <w:rFonts w:ascii="Times New Roman"/>
                <w:color w:val="1A1A1A"/>
                <w:sz w:val="20"/>
                <w:szCs w:val="20"/>
              </w:rPr>
              <w:t xml:space="preserve">Trade execution, deposits</w:t>
            </w:r>
          </w:p>
        </w:tc>
        <w:tc>
          <w:tcPr>
            <w:shd w:fill="EDF3F5" w:val="clear"/>
            <w:tcMar>
              <w:top w:type="dxa" w:w="50"/>
              <w:left w:type="dxa" w:w="100"/>
              <w:bottom w:type="dxa" w:w="50"/>
              <w:right w:type="dxa" w:w="100"/>
            </w:tcMar>
          </w:tcPr>
          <w:p>
            <w:r>
              <w:rPr>
                <w:rFonts w:ascii="Times New Roman"/>
                <w:color w:val="1A1A1A"/>
                <w:sz w:val="20"/>
                <w:szCs w:val="20"/>
              </w:rPr>
              <w:t xml:space="preserve">&lt; 5ms (within DC)</w:t>
            </w:r>
          </w:p>
        </w:tc>
      </w:tr>
      <w:tr>
        <w:trPr>
          <w:cantSplit/>
        </w:trPr>
        <w:tc>
          <w:tcPr>
            <w:tcMar>
              <w:top w:type="dxa" w:w="50"/>
              <w:left w:type="dxa" w:w="100"/>
              <w:bottom w:type="dxa" w:w="50"/>
              <w:right w:type="dxa" w:w="100"/>
            </w:tcMar>
          </w:tcPr>
          <w:p>
            <w:r>
              <w:rPr>
                <w:rFonts w:ascii="Times New Roman"/>
                <w:color w:val="1A1A1A"/>
                <w:sz w:val="20"/>
                <w:szCs w:val="20"/>
              </w:rPr>
              <w:t xml:space="preserve">Synchronous Query</w:t>
            </w:r>
          </w:p>
        </w:tc>
        <w:tc>
          <w:tcPr>
            <w:tcMar>
              <w:top w:type="dxa" w:w="50"/>
              <w:left w:type="dxa" w:w="100"/>
              <w:bottom w:type="dxa" w:w="50"/>
              <w:right w:type="dxa" w:w="100"/>
            </w:tcMar>
          </w:tcPr>
          <w:p>
            <w:r>
              <w:rPr>
                <w:rFonts w:ascii="Times New Roman"/>
                <w:color w:val="1A1A1A"/>
                <w:sz w:val="20"/>
                <w:szCs w:val="20"/>
              </w:rPr>
              <w:t xml:space="preserve">gRPC</w:t>
            </w:r>
          </w:p>
        </w:tc>
        <w:tc>
          <w:tcPr>
            <w:tcMar>
              <w:top w:type="dxa" w:w="50"/>
              <w:left w:type="dxa" w:w="100"/>
              <w:bottom w:type="dxa" w:w="50"/>
              <w:right w:type="dxa" w:w="100"/>
            </w:tcMar>
          </w:tcPr>
          <w:p>
            <w:r>
              <w:rPr>
                <w:rFonts w:ascii="Times New Roman"/>
                <w:color w:val="1A1A1A"/>
                <w:sz w:val="20"/>
                <w:szCs w:val="20"/>
              </w:rPr>
              <w:t xml:space="preserve">Balance check, KYC status</w:t>
            </w:r>
          </w:p>
        </w:tc>
        <w:tc>
          <w:tcPr>
            <w:tcMar>
              <w:top w:type="dxa" w:w="50"/>
              <w:left w:type="dxa" w:w="100"/>
              <w:bottom w:type="dxa" w:w="50"/>
              <w:right w:type="dxa" w:w="100"/>
            </w:tcMar>
          </w:tcPr>
          <w:p>
            <w:r>
              <w:rPr>
                <w:rFonts w:ascii="Times New Roman"/>
                <w:color w:val="1A1A1A"/>
                <w:sz w:val="20"/>
                <w:szCs w:val="20"/>
              </w:rPr>
              <w:t xml:space="preserve">&lt; 10ms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External API</w:t>
            </w:r>
          </w:p>
        </w:tc>
        <w:tc>
          <w:tcPr>
            <w:shd w:fill="EDF3F5" w:val="clear"/>
            <w:tcMar>
              <w:top w:type="dxa" w:w="50"/>
              <w:left w:type="dxa" w:w="100"/>
              <w:bottom w:type="dxa" w:w="50"/>
              <w:right w:type="dxa" w:w="100"/>
            </w:tcMar>
          </w:tcPr>
          <w:p>
            <w:r>
              <w:rPr>
                <w:rFonts w:ascii="Times New Roman"/>
                <w:color w:val="1A1A1A"/>
                <w:sz w:val="20"/>
                <w:szCs w:val="20"/>
              </w:rPr>
              <w:t xml:space="preserve">REST/HTTPS</w:t>
            </w:r>
          </w:p>
        </w:tc>
        <w:tc>
          <w:tcPr>
            <w:shd w:fill="EDF3F5" w:val="clear"/>
            <w:tcMar>
              <w:top w:type="dxa" w:w="50"/>
              <w:left w:type="dxa" w:w="100"/>
              <w:bottom w:type="dxa" w:w="50"/>
              <w:right w:type="dxa" w:w="100"/>
            </w:tcMar>
          </w:tcPr>
          <w:p>
            <w:r>
              <w:rPr>
                <w:rFonts w:ascii="Times New Roman"/>
                <w:color w:val="1A1A1A"/>
                <w:sz w:val="20"/>
                <w:szCs w:val="20"/>
              </w:rPr>
              <w:t xml:space="preserve">Client requests</w:t>
            </w:r>
          </w:p>
        </w:tc>
        <w:tc>
          <w:tcPr>
            <w:shd w:fill="EDF3F5" w:val="clear"/>
            <w:tcMar>
              <w:top w:type="dxa" w:w="50"/>
              <w:left w:type="dxa" w:w="100"/>
              <w:bottom w:type="dxa" w:w="50"/>
              <w:right w:type="dxa" w:w="100"/>
            </w:tcMar>
          </w:tcPr>
          <w:p>
            <w:r>
              <w:rPr>
                <w:rFonts w:ascii="Times New Roman"/>
                <w:color w:val="1A1A1A"/>
                <w:sz w:val="20"/>
                <w:szCs w:val="20"/>
              </w:rPr>
              <w:t xml:space="preserve">&lt; 50ms</w:t>
            </w:r>
          </w:p>
        </w:tc>
      </w:tr>
      <w:tr>
        <w:trPr>
          <w:cantSplit/>
        </w:trPr>
        <w:tc>
          <w:tcPr>
            <w:tcMar>
              <w:top w:type="dxa" w:w="50"/>
              <w:left w:type="dxa" w:w="100"/>
              <w:bottom w:type="dxa" w:w="50"/>
              <w:right w:type="dxa" w:w="100"/>
            </w:tcMar>
          </w:tcPr>
          <w:p>
            <w:r>
              <w:rPr>
                <w:rFonts w:ascii="Times New Roman"/>
                <w:color w:val="1A1A1A"/>
                <w:sz w:val="20"/>
                <w:szCs w:val="20"/>
              </w:rPr>
              <w:t xml:space="preserve">Real-time Data</w:t>
            </w:r>
          </w:p>
        </w:tc>
        <w:tc>
          <w:tcPr>
            <w:tcMar>
              <w:top w:type="dxa" w:w="50"/>
              <w:left w:type="dxa" w:w="100"/>
              <w:bottom w:type="dxa" w:w="50"/>
              <w:right w:type="dxa" w:w="100"/>
            </w:tcMar>
          </w:tcPr>
          <w:p>
            <w:r>
              <w:rPr>
                <w:rFonts w:ascii="Times New Roman"/>
                <w:color w:val="1A1A1A"/>
                <w:sz w:val="20"/>
                <w:szCs w:val="20"/>
              </w:rPr>
              <w:t xml:space="preserve">WebSocket</w:t>
            </w:r>
          </w:p>
        </w:tc>
        <w:tc>
          <w:tcPr>
            <w:tcMar>
              <w:top w:type="dxa" w:w="50"/>
              <w:left w:type="dxa" w:w="100"/>
              <w:bottom w:type="dxa" w:w="50"/>
              <w:right w:type="dxa" w:w="100"/>
            </w:tcMar>
          </w:tcPr>
          <w:p>
            <w:r>
              <w:rPr>
                <w:rFonts w:ascii="Times New Roman"/>
                <w:color w:val="1A1A1A"/>
                <w:sz w:val="20"/>
                <w:szCs w:val="20"/>
              </w:rPr>
              <w:t xml:space="preserve">Price feeds, order updates</w:t>
            </w:r>
          </w:p>
        </w:tc>
        <w:tc>
          <w:tcPr>
            <w:tcMar>
              <w:top w:type="dxa" w:w="50"/>
              <w:left w:type="dxa" w:w="100"/>
              <w:bottom w:type="dxa" w:w="50"/>
              <w:right w:type="dxa" w:w="100"/>
            </w:tcMar>
          </w:tcPr>
          <w:p>
            <w:r>
              <w:rPr>
                <w:rFonts w:ascii="Times New Roman"/>
                <w:color w:val="1A1A1A"/>
                <w:sz w:val="20"/>
                <w:szCs w:val="20"/>
              </w:rPr>
              <w:t xml:space="preserve">&lt; 10ms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Internal Batch</w:t>
            </w:r>
          </w:p>
        </w:tc>
        <w:tc>
          <w:tcPr>
            <w:shd w:fill="EDF3F5" w:val="clear"/>
            <w:tcMar>
              <w:top w:type="dxa" w:w="50"/>
              <w:left w:type="dxa" w:w="100"/>
              <w:bottom w:type="dxa" w:w="50"/>
              <w:right w:type="dxa" w:w="100"/>
            </w:tcMar>
          </w:tcPr>
          <w:p>
            <w:r>
              <w:rPr>
                <w:rFonts w:ascii="Times New Roman"/>
                <w:color w:val="1A1A1A"/>
                <w:sz w:val="20"/>
                <w:szCs w:val="20"/>
              </w:rPr>
              <w:t xml:space="preserve">Kafka Batch</w:t>
            </w:r>
          </w:p>
        </w:tc>
        <w:tc>
          <w:tcPr>
            <w:shd w:fill="EDF3F5" w:val="clear"/>
            <w:tcMar>
              <w:top w:type="dxa" w:w="50"/>
              <w:left w:type="dxa" w:w="100"/>
              <w:bottom w:type="dxa" w:w="50"/>
              <w:right w:type="dxa" w:w="100"/>
            </w:tcMar>
          </w:tcPr>
          <w:p>
            <w:r>
              <w:rPr>
                <w:rFonts w:ascii="Times New Roman"/>
                <w:color w:val="1A1A1A"/>
                <w:sz w:val="20"/>
                <w:szCs w:val="20"/>
              </w:rPr>
              <w:t xml:space="preserve">Analytics, reconciliation</w:t>
            </w:r>
          </w:p>
        </w:tc>
        <w:tc>
          <w:tcPr>
            <w:shd w:fill="EDF3F5" w:val="clear"/>
            <w:tcMar>
              <w:top w:type="dxa" w:w="50"/>
              <w:left w:type="dxa" w:w="100"/>
              <w:bottom w:type="dxa" w:w="50"/>
              <w:right w:type="dxa" w:w="100"/>
            </w:tcMar>
          </w:tcPr>
          <w:p>
            <w:r>
              <w:rPr>
                <w:rFonts w:ascii="Times New Roman"/>
                <w:color w:val="1A1A1A"/>
                <w:sz w:val="20"/>
                <w:szCs w:val="20"/>
              </w:rPr>
              <w:t xml:space="preserve">Minutes</w:t>
            </w:r>
          </w:p>
        </w:tc>
      </w:tr>
    </w:tbl>
    <w:p>
      <w:pPr>
        <w:pStyle w:val="Heading1"/>
        <w:spacing w:after="200" w:before="480" w:line="312"/>
      </w:pPr>
      <w:bookmarkStart w:id="100038" w:name="_Toc100038"/>
      <w:r>
        <w:rPr>
          <w:rFonts w:ascii="Times New Roman"/>
          <w:b/>
          <w:bCs/>
          <w:color w:val="0F2027"/>
          <w:sz w:val="36"/>
          <w:szCs w:val="36"/>
        </w:rPr>
        <w:t xml:space="preserve">Section 4: Matching Engine</w:t>
      </w:r>
      <w:bookmarkEnd w:id="100038"/>
    </w:p>
    <w:p>
      <w:pPr>
        <w:pStyle w:val="Heading2"/>
        <w:spacing w:after="160" w:before="360" w:line="312"/>
      </w:pPr>
      <w:bookmarkStart w:id="100039" w:name="_Toc100039"/>
      <w:r>
        <w:rPr>
          <w:rFonts w:ascii="Times New Roman"/>
          <w:b/>
          <w:bCs/>
          <w:color w:val="0F2027"/>
          <w:sz w:val="30"/>
          <w:szCs w:val="30"/>
        </w:rPr>
        <w:t xml:space="preserve">4.1 Architecture Overview</w:t>
      </w:r>
      <w:bookmarkEnd w:id="100039"/>
    </w:p>
    <w:p>
      <w:pPr>
        <w:spacing w:after="120" w:line="312"/>
        <w:jc w:val="both"/>
      </w:pPr>
      <w:r>
        <w:rPr>
          <w:rFonts w:ascii="Times New Roman"/>
          <w:color w:val="1A1A1A"/>
          <w:sz w:val="22"/>
          <w:szCs w:val="22"/>
        </w:rPr>
        <w:t xml:space="preserve">The matching engine is the core component of the exchange, responsible for maintaining order books and executing trades with ultra-low latency. The engine is implemented in C++ (with Rust under evaluation for memory safety) and deployed as a stateful service with leader-follower replication for high availability. The architecture is designed to achieve sub-microsecond matching latency and sustain throughput exceeding 1,000,000 transactions per second (TPS) per trading pair, with horizontal scaling across multiple matching engine instances serving different trading pairs.</w:t>
      </w:r>
    </w:p>
    <w:p>
      <w:pPr>
        <w:spacing w:after="120" w:line="312"/>
        <w:jc w:val="both"/>
      </w:pPr>
      <w:r>
        <w:rPr>
          <w:rFonts w:ascii="Times New Roman"/>
          <w:color w:val="1A1A1A"/>
          <w:sz w:val="22"/>
          <w:szCs w:val="22"/>
        </w:rPr>
        <w:t xml:space="preserve">Each matching engine instance is pinned to a dedicated CPU core with CPU isolation (using cgroups and CPU pinning), disabling frequency scaling and hyperthreading to ensure deterministic latency. Memory is pre-allocated using memory pools (slab allocators) to eliminate garbage collection pauses and heap fragmentation. Network I/O uses kernel bypass techniques (DPDK or io_uring) to minimize context switches and system call overhead. The entire order book is maintained in memory as a sorted data structure (price-time priority) with no disk I/O on the critical path.</w:t>
      </w:r>
    </w:p>
    <w:p>
      <w:pPr>
        <w:pStyle w:val="Heading2"/>
        <w:spacing w:after="160" w:before="360" w:line="312"/>
      </w:pPr>
      <w:bookmarkStart w:id="100040" w:name="_Toc100040"/>
      <w:r>
        <w:rPr>
          <w:rFonts w:ascii="Times New Roman"/>
          <w:b/>
          <w:bCs/>
          <w:color w:val="0F2027"/>
          <w:sz w:val="30"/>
          <w:szCs w:val="30"/>
        </w:rPr>
        <w:t xml:space="preserve">4.2 Order Book Data Structure</w:t>
      </w:r>
      <w:bookmarkEnd w:id="100040"/>
    </w:p>
    <w:p>
      <w:pPr>
        <w:spacing w:after="120" w:line="312"/>
        <w:jc w:val="both"/>
      </w:pPr>
      <w:r>
        <w:rPr>
          <w:rFonts w:ascii="Times New Roman"/>
          <w:color w:val="1A1A1A"/>
          <w:sz w:val="22"/>
          <w:szCs w:val="22"/>
        </w:rPr>
        <w:t xml:space="preserve">The order book is implemented as two red-black trees (one for bids, one for asks) where each node represents a price level. Each price level contains a doubly-linked list of orders at that price, ordered by time of arrival (FIFO). This structure provides O(log N) insertion and deletion for price levels and O(1) insertion and deletion within a price level. Price levels are also indexed by a skip list for efficient range queries (e.g., finding all price levels within a certain spread for market data snapshot generation).</w:t>
      </w:r>
    </w:p>
    <w:p>
      <w:pPr>
        <w:shd w:fill="F0F4F8" w:val="clear"/>
        <w:spacing w:after="80" w:before="80" w:line="276"/>
        <w:ind w:left="200"/>
      </w:pPr>
      <w:r>
        <w:rPr>
          <w:rFonts w:ascii="Courier New"/>
          <w:color w:val="4A6575"/>
          <w:sz w:val="17"/>
          <w:szCs w:val="17"/>
        </w:rPr>
        <w:t xml:space="preserve">Data Structure: OrderBook { bids: TreeMap&lt;Price, PriceLevel&gt; (desc); asks: TreeMap&lt;Price, PriceLevel&gt; (asc); } PriceLevel { price: fixed-point decimal; orders: LinkedList&lt;Order&gt; (FIFO); totalQuantity: decimal; orderCount: int; } Order { orderId: uint64; userId: uint64; side: BUY|SELL; price: fixed-point decimal; quantity: fixed-point decimal; filledQuantity: decimal; timestamp: uint64; orderType: MARKET|LIMIT|STOP; }</w:t>
      </w:r>
    </w:p>
    <w:p>
      <w:pPr>
        <w:spacing w:after="60" w:before="60"/>
      </w:pPr>
    </w:p>
    <w:p>
      <w:pPr>
        <w:pStyle w:val="Heading2"/>
        <w:spacing w:after="160" w:before="360" w:line="312"/>
      </w:pPr>
      <w:bookmarkStart w:id="100041" w:name="_Toc100041"/>
      <w:r>
        <w:rPr>
          <w:rFonts w:ascii="Times New Roman"/>
          <w:b/>
          <w:bCs/>
          <w:color w:val="0F2027"/>
          <w:sz w:val="30"/>
          <w:szCs w:val="30"/>
        </w:rPr>
        <w:t xml:space="preserve">4.3 Matching Algorithm</w:t>
      </w:r>
      <w:bookmarkEnd w:id="100041"/>
    </w:p>
    <w:p>
      <w:pPr>
        <w:spacing w:after="120" w:line="312"/>
        <w:jc w:val="both"/>
      </w:pPr>
      <w:r>
        <w:rPr>
          <w:rFonts w:ascii="Times New Roman"/>
          <w:color w:val="1A1A1A"/>
          <w:sz w:val="22"/>
          <w:szCs w:val="22"/>
        </w:rPr>
        <w:t xml:space="preserve">The matching algorithm follows a strict price-time priority model: the best-priced orders (highest bid, lowest ask) are matched first, and within the same price, the earliest-arriving order is matched first. When a new limit order arrives, the engine checks if it can be immediately matched against opposing orders. If the limit price crosses the spread (a buy limit at or above the lowest ask, or a sell limit at or below the highest bid), matching occurs immediately at the resting order's price. If the incoming order is not fully filled, the remaining quantity is inserted into the order book as a new resting order at its limit price.</w:t>
      </w:r>
    </w:p>
    <w:p>
      <w:pPr>
        <w:shd w:fill="F0F4F8" w:val="clear"/>
        <w:spacing w:after="80" w:before="80" w:line="276"/>
        <w:ind w:left="200"/>
      </w:pPr>
      <w:r>
        <w:rPr>
          <w:rFonts w:ascii="Courier New"/>
          <w:color w:val="4A6575"/>
          <w:sz w:val="17"/>
          <w:szCs w:val="17"/>
        </w:rPr>
        <w:t xml:space="preserve">Algorithm: MATCH(incomingOrder) { while incomingOrder.quantity &gt; 0 AND opposingBook is not empty: bestPrice = opposingBook.bestPrice() if incomingOrder crosses bestPrice: level = opposingBook.getLevel(bestPrice) while level is not empty AND incomingOrder.quantity &gt; 0: restingOrder = level.first() tradeQuantity = min(incomingOrder.quantity, restingOrder.remainingQuantity) tradePrice = restingOrder.price EXECUTE_TRADE(incomingOrder, restingOrder, tradeQuantity, tradePrice) if restingOrder.filled: REMOVE(restingOrder) else: UPDATE(restingOrder) incomingOrder.quantity -= tradeQuantity REMOVE_EMPTY_LEVEL(bestPrice) else: break INSERT(incomingOrder) }</w:t>
      </w:r>
    </w:p>
    <w:p>
      <w:pPr>
        <w:spacing w:after="60" w:before="60"/>
      </w:pPr>
    </w:p>
    <w:p>
      <w:pPr>
        <w:pStyle w:val="Heading2"/>
        <w:spacing w:after="160" w:before="360" w:line="312"/>
      </w:pPr>
      <w:bookmarkStart w:id="100042" w:name="_Toc100042"/>
      <w:r>
        <w:rPr>
          <w:rFonts w:ascii="Times New Roman"/>
          <w:b/>
          <w:bCs/>
          <w:color w:val="0F2027"/>
          <w:sz w:val="30"/>
          <w:szCs w:val="30"/>
        </w:rPr>
        <w:t xml:space="preserve">4.4 Performance Targets</w:t>
      </w:r>
      <w:bookmarkEnd w:id="100042"/>
    </w:p>
    <w:p>
      <w:pPr>
        <w:keepNext/>
        <w:spacing w:after="80" w:before="200" w:line="312"/>
      </w:pPr>
      <w:r>
        <w:rPr>
          <w:rFonts w:ascii="Times New Roman"/>
          <w:b/>
          <w:bCs/>
          <w:i/>
          <w:iCs/>
          <w:color w:val="4A6575"/>
          <w:sz w:val="20"/>
          <w:szCs w:val="20"/>
        </w:rPr>
        <w:t xml:space="preserve">Table 4.1: Matching Engine Performance Specifications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Metric</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Target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Measurement Method</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Order-to-Trade Latency (P50)</w:t>
            </w:r>
          </w:p>
        </w:tc>
        <w:tc>
          <w:tcPr>
            <w:shd w:fill="EDF3F5" w:val="clear"/>
            <w:tcMar>
              <w:top w:type="dxa" w:w="50"/>
              <w:left w:type="dxa" w:w="100"/>
              <w:bottom w:type="dxa" w:w="50"/>
              <w:right w:type="dxa" w:w="100"/>
            </w:tcMar>
          </w:tcPr>
          <w:p>
            <w:r>
              <w:rPr>
                <w:rFonts w:ascii="Times New Roman"/>
                <w:color w:val="1A1A1A"/>
                <w:sz w:val="20"/>
                <w:szCs w:val="20"/>
              </w:rPr>
              <w:t xml:space="preserve">&lt; 1 microsecond</w:t>
            </w:r>
          </w:p>
        </w:tc>
        <w:tc>
          <w:tcPr>
            <w:shd w:fill="EDF3F5" w:val="clear"/>
            <w:tcMar>
              <w:top w:type="dxa" w:w="50"/>
              <w:left w:type="dxa" w:w="100"/>
              <w:bottom w:type="dxa" w:w="50"/>
              <w:right w:type="dxa" w:w="100"/>
            </w:tcMar>
          </w:tcPr>
          <w:p>
            <w:r>
              <w:rPr>
                <w:rFonts w:ascii="Times New Roman"/>
                <w:color w:val="1A1A1A"/>
                <w:sz w:val="20"/>
                <w:szCs w:val="20"/>
              </w:rPr>
              <w:t xml:space="preserve">In-process timestamp</w:t>
            </w:r>
          </w:p>
        </w:tc>
      </w:tr>
      <w:tr>
        <w:trPr>
          <w:cantSplit/>
        </w:trPr>
        <w:tc>
          <w:tcPr>
            <w:tcMar>
              <w:top w:type="dxa" w:w="50"/>
              <w:left w:type="dxa" w:w="100"/>
              <w:bottom w:type="dxa" w:w="50"/>
              <w:right w:type="dxa" w:w="100"/>
            </w:tcMar>
          </w:tcPr>
          <w:p>
            <w:r>
              <w:rPr>
                <w:rFonts w:ascii="Times New Roman"/>
                <w:color w:val="1A1A1A"/>
                <w:sz w:val="20"/>
                <w:szCs w:val="20"/>
              </w:rPr>
              <w:t xml:space="preserve">Order-to-Trade Latency (P99)</w:t>
            </w:r>
          </w:p>
        </w:tc>
        <w:tc>
          <w:tcPr>
            <w:tcMar>
              <w:top w:type="dxa" w:w="50"/>
              <w:left w:type="dxa" w:w="100"/>
              <w:bottom w:type="dxa" w:w="50"/>
              <w:right w:type="dxa" w:w="100"/>
            </w:tcMar>
          </w:tcPr>
          <w:p>
            <w:r>
              <w:rPr>
                <w:rFonts w:ascii="Times New Roman"/>
                <w:color w:val="1A1A1A"/>
                <w:sz w:val="20"/>
                <w:szCs w:val="20"/>
              </w:rPr>
              <w:t xml:space="preserve">&lt; 5 microseconds</w:t>
            </w:r>
          </w:p>
        </w:tc>
        <w:tc>
          <w:tcPr>
            <w:tcMar>
              <w:top w:type="dxa" w:w="50"/>
              <w:left w:type="dxa" w:w="100"/>
              <w:bottom w:type="dxa" w:w="50"/>
              <w:right w:type="dxa" w:w="100"/>
            </w:tcMar>
          </w:tcPr>
          <w:p>
            <w:r>
              <w:rPr>
                <w:rFonts w:ascii="Times New Roman"/>
                <w:color w:val="1A1A1A"/>
                <w:sz w:val="20"/>
                <w:szCs w:val="20"/>
              </w:rPr>
              <w:t xml:space="preserve">In-process timestamp</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Order-to-Trade Latency (P99.9)</w:t>
            </w:r>
          </w:p>
        </w:tc>
        <w:tc>
          <w:tcPr>
            <w:shd w:fill="EDF3F5" w:val="clear"/>
            <w:tcMar>
              <w:top w:type="dxa" w:w="50"/>
              <w:left w:type="dxa" w:w="100"/>
              <w:bottom w:type="dxa" w:w="50"/>
              <w:right w:type="dxa" w:w="100"/>
            </w:tcMar>
          </w:tcPr>
          <w:p>
            <w:r>
              <w:rPr>
                <w:rFonts w:ascii="Times New Roman"/>
                <w:color w:val="1A1A1A"/>
                <w:sz w:val="20"/>
                <w:szCs w:val="20"/>
              </w:rPr>
              <w:t xml:space="preserve">&lt; 20 microseconds</w:t>
            </w:r>
          </w:p>
        </w:tc>
        <w:tc>
          <w:tcPr>
            <w:shd w:fill="EDF3F5" w:val="clear"/>
            <w:tcMar>
              <w:top w:type="dxa" w:w="50"/>
              <w:left w:type="dxa" w:w="100"/>
              <w:bottom w:type="dxa" w:w="50"/>
              <w:right w:type="dxa" w:w="100"/>
            </w:tcMar>
          </w:tcPr>
          <w:p>
            <w:r>
              <w:rPr>
                <w:rFonts w:ascii="Times New Roman"/>
                <w:color w:val="1A1A1A"/>
                <w:sz w:val="20"/>
                <w:szCs w:val="20"/>
              </w:rPr>
              <w:t xml:space="preserve">In-process timestamp</w:t>
            </w:r>
          </w:p>
        </w:tc>
      </w:tr>
      <w:tr>
        <w:trPr>
          <w:cantSplit/>
        </w:trPr>
        <w:tc>
          <w:tcPr>
            <w:tcMar>
              <w:top w:type="dxa" w:w="50"/>
              <w:left w:type="dxa" w:w="100"/>
              <w:bottom w:type="dxa" w:w="50"/>
              <w:right w:type="dxa" w:w="100"/>
            </w:tcMar>
          </w:tcPr>
          <w:p>
            <w:r>
              <w:rPr>
                <w:rFonts w:ascii="Times New Roman"/>
                <w:color w:val="1A1A1A"/>
                <w:sz w:val="20"/>
                <w:szCs w:val="20"/>
              </w:rPr>
              <w:t xml:space="preserve">Throughput per Pair</w:t>
            </w:r>
          </w:p>
        </w:tc>
        <w:tc>
          <w:tcPr>
            <w:tcMar>
              <w:top w:type="dxa" w:w="50"/>
              <w:left w:type="dxa" w:w="100"/>
              <w:bottom w:type="dxa" w:w="50"/>
              <w:right w:type="dxa" w:w="100"/>
            </w:tcMar>
          </w:tcPr>
          <w:p>
            <w:r>
              <w:rPr>
                <w:rFonts w:ascii="Times New Roman"/>
                <w:color w:val="1A1A1A"/>
                <w:sz w:val="20"/>
                <w:szCs w:val="20"/>
              </w:rPr>
              <w:t xml:space="preserve">&gt; 1,000,000 TPS</w:t>
            </w:r>
          </w:p>
        </w:tc>
        <w:tc>
          <w:tcPr>
            <w:tcMar>
              <w:top w:type="dxa" w:w="50"/>
              <w:left w:type="dxa" w:w="100"/>
              <w:bottom w:type="dxa" w:w="50"/>
              <w:right w:type="dxa" w:w="100"/>
            </w:tcMar>
          </w:tcPr>
          <w:p>
            <w:r>
              <w:rPr>
                <w:rFonts w:ascii="Times New Roman"/>
                <w:color w:val="1A1A1A"/>
                <w:sz w:val="20"/>
                <w:szCs w:val="20"/>
              </w:rPr>
              <w:t xml:space="preserve">Load test (synthetic orders)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Total System Throughput</w:t>
            </w:r>
          </w:p>
        </w:tc>
        <w:tc>
          <w:tcPr>
            <w:shd w:fill="EDF3F5" w:val="clear"/>
            <w:tcMar>
              <w:top w:type="dxa" w:w="50"/>
              <w:left w:type="dxa" w:w="100"/>
              <w:bottom w:type="dxa" w:w="50"/>
              <w:right w:type="dxa" w:w="100"/>
            </w:tcMar>
          </w:tcPr>
          <w:p>
            <w:r>
              <w:rPr>
                <w:rFonts w:ascii="Times New Roman"/>
                <w:color w:val="1A1A1A"/>
                <w:sz w:val="20"/>
                <w:szCs w:val="20"/>
              </w:rPr>
              <w:t xml:space="preserve">&gt; 10,000,000 TPS</w:t>
            </w:r>
          </w:p>
        </w:tc>
        <w:tc>
          <w:tcPr>
            <w:shd w:fill="EDF3F5" w:val="clear"/>
            <w:tcMar>
              <w:top w:type="dxa" w:w="50"/>
              <w:left w:type="dxa" w:w="100"/>
              <w:bottom w:type="dxa" w:w="50"/>
              <w:right w:type="dxa" w:w="100"/>
            </w:tcMar>
          </w:tcPr>
          <w:p>
            <w:r>
              <w:rPr>
                <w:rFonts w:ascii="Times New Roman"/>
                <w:color w:val="1A1A1A"/>
                <w:sz w:val="20"/>
                <w:szCs w:val="20"/>
              </w:rPr>
              <w:t xml:space="preserve">Aggregated across all instances</w:t>
            </w:r>
          </w:p>
        </w:tc>
      </w:tr>
      <w:tr>
        <w:trPr>
          <w:cantSplit/>
        </w:trPr>
        <w:tc>
          <w:tcPr>
            <w:tcMar>
              <w:top w:type="dxa" w:w="50"/>
              <w:left w:type="dxa" w:w="100"/>
              <w:bottom w:type="dxa" w:w="50"/>
              <w:right w:type="dxa" w:w="100"/>
            </w:tcMar>
          </w:tcPr>
          <w:p>
            <w:r>
              <w:rPr>
                <w:rFonts w:ascii="Times New Roman"/>
                <w:color w:val="1A1A1A"/>
                <w:sz w:val="20"/>
                <w:szCs w:val="20"/>
              </w:rPr>
              <w:t xml:space="preserve">Order Book Depth Snapshot</w:t>
            </w:r>
          </w:p>
        </w:tc>
        <w:tc>
          <w:tcPr>
            <w:tcMar>
              <w:top w:type="dxa" w:w="50"/>
              <w:left w:type="dxa" w:w="100"/>
              <w:bottom w:type="dxa" w:w="50"/>
              <w:right w:type="dxa" w:w="100"/>
            </w:tcMar>
          </w:tcPr>
          <w:p>
            <w:r>
              <w:rPr>
                <w:rFonts w:ascii="Times New Roman"/>
                <w:color w:val="1A1A1A"/>
                <w:sz w:val="20"/>
                <w:szCs w:val="20"/>
              </w:rPr>
              <w:t xml:space="preserve">&lt; 100 microseconds</w:t>
            </w:r>
          </w:p>
        </w:tc>
        <w:tc>
          <w:tcPr>
            <w:tcMar>
              <w:top w:type="dxa" w:w="50"/>
              <w:left w:type="dxa" w:w="100"/>
              <w:bottom w:type="dxa" w:w="50"/>
              <w:right w:type="dxa" w:w="100"/>
            </w:tcMar>
          </w:tcPr>
          <w:p>
            <w:r>
              <w:rPr>
                <w:rFonts w:ascii="Times New Roman"/>
                <w:color w:val="1A1A1A"/>
                <w:sz w:val="20"/>
                <w:szCs w:val="20"/>
              </w:rPr>
              <w:t xml:space="preserve">Full book serialization</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Failover Time</w:t>
            </w:r>
          </w:p>
        </w:tc>
        <w:tc>
          <w:tcPr>
            <w:shd w:fill="EDF3F5" w:val="clear"/>
            <w:tcMar>
              <w:top w:type="dxa" w:w="50"/>
              <w:left w:type="dxa" w:w="100"/>
              <w:bottom w:type="dxa" w:w="50"/>
              <w:right w:type="dxa" w:w="100"/>
            </w:tcMar>
          </w:tcPr>
          <w:p>
            <w:r>
              <w:rPr>
                <w:rFonts w:ascii="Times New Roman"/>
                <w:color w:val="1A1A1A"/>
                <w:sz w:val="20"/>
                <w:szCs w:val="20"/>
              </w:rPr>
              <w:t xml:space="preserve">&lt; 1 second</w:t>
            </w:r>
          </w:p>
        </w:tc>
        <w:tc>
          <w:tcPr>
            <w:shd w:fill="EDF3F5" w:val="clear"/>
            <w:tcMar>
              <w:top w:type="dxa" w:w="50"/>
              <w:left w:type="dxa" w:w="100"/>
              <w:bottom w:type="dxa" w:w="50"/>
              <w:right w:type="dxa" w:w="100"/>
            </w:tcMar>
          </w:tcPr>
          <w:p>
            <w:r>
              <w:rPr>
                <w:rFonts w:ascii="Times New Roman"/>
                <w:color w:val="1A1A1A"/>
                <w:sz w:val="20"/>
                <w:szCs w:val="20"/>
              </w:rPr>
              <w:t xml:space="preserve">Leader election + state transfer</w:t>
            </w:r>
          </w:p>
        </w:tc>
      </w:tr>
      <w:tr>
        <w:trPr>
          <w:cantSplit/>
        </w:trPr>
        <w:tc>
          <w:tcPr>
            <w:tcMar>
              <w:top w:type="dxa" w:w="50"/>
              <w:left w:type="dxa" w:w="100"/>
              <w:bottom w:type="dxa" w:w="50"/>
              <w:right w:type="dxa" w:w="100"/>
            </w:tcMar>
          </w:tcPr>
          <w:p>
            <w:r>
              <w:rPr>
                <w:rFonts w:ascii="Times New Roman"/>
                <w:color w:val="1A1A1A"/>
                <w:sz w:val="20"/>
                <w:szCs w:val="20"/>
              </w:rPr>
              <w:t xml:space="preserve">Order Acknowledgment</w:t>
            </w:r>
          </w:p>
        </w:tc>
        <w:tc>
          <w:tcPr>
            <w:tcMar>
              <w:top w:type="dxa" w:w="50"/>
              <w:left w:type="dxa" w:w="100"/>
              <w:bottom w:type="dxa" w:w="50"/>
              <w:right w:type="dxa" w:w="100"/>
            </w:tcMar>
          </w:tcPr>
          <w:p>
            <w:r>
              <w:rPr>
                <w:rFonts w:ascii="Times New Roman"/>
                <w:color w:val="1A1A1A"/>
                <w:sz w:val="20"/>
                <w:szCs w:val="20"/>
              </w:rPr>
              <w:t xml:space="preserve">&lt; 1 millisecond</w:t>
            </w:r>
          </w:p>
        </w:tc>
        <w:tc>
          <w:tcPr>
            <w:tcMar>
              <w:top w:type="dxa" w:w="50"/>
              <w:left w:type="dxa" w:w="100"/>
              <w:bottom w:type="dxa" w:w="50"/>
              <w:right w:type="dxa" w:w="100"/>
            </w:tcMar>
          </w:tcPr>
          <w:p>
            <w:r>
              <w:rPr>
                <w:rFonts w:ascii="Times New Roman"/>
                <w:color w:val="1A1A1A"/>
                <w:sz w:val="20"/>
                <w:szCs w:val="20"/>
              </w:rPr>
              <w:t xml:space="preserve">End-to-end (gateway to client)</w:t>
            </w:r>
          </w:p>
        </w:tc>
      </w:tr>
    </w:tbl>
    <w:p>
      <w:pPr>
        <w:spacing w:after="60" w:before="60"/>
      </w:pPr>
    </w:p>
    <w:p>
      <w:pPr>
        <w:pStyle w:val="Heading2"/>
        <w:spacing w:after="160" w:before="360" w:line="312"/>
      </w:pPr>
      <w:bookmarkStart w:id="100043" w:name="_Toc100043"/>
      <w:r>
        <w:rPr>
          <w:rFonts w:ascii="Times New Roman"/>
          <w:b/>
          <w:bCs/>
          <w:color w:val="0F2027"/>
          <w:sz w:val="30"/>
          <w:szCs w:val="30"/>
        </w:rPr>
        <w:t xml:space="preserve">4.5 Failover and Replication</w:t>
      </w:r>
      <w:bookmarkEnd w:id="100043"/>
    </w:p>
    <w:p>
      <w:pPr>
        <w:spacing w:after="120" w:line="312"/>
        <w:jc w:val="both"/>
      </w:pPr>
      <w:r>
        <w:rPr>
          <w:rFonts w:ascii="Times New Roman"/>
          <w:color w:val="1A1A1A"/>
          <w:sz w:val="22"/>
          <w:szCs w:val="22"/>
        </w:rPr>
        <w:t xml:space="preserve">The matching engine uses a leader-follower replication model. The leader processes all orders and maintains the authoritative order book state. Followers receive a stream of state mutations from the leader via a dedicated high-speed channel (shared memory or RDMA) and maintain an identical in-memory copy. If the leader fails, a follower is promoted to leader through a consensus protocol (Raft), taking over processing within 1 second. During failover, no orders are lost: unprocessed orders in the leader's input buffer are forwarded to the new leader. State transfer for lagging followers uses periodic full-order-book snapshots combined with incremental mutation logs.</w:t>
      </w:r>
    </w:p>
    <w:p>
      <w:pPr>
        <w:spacing w:after="120" w:line="312"/>
        <w:jc w:val="both"/>
      </w:pPr>
      <w:r>
        <w:rPr>
          <w:rFonts w:ascii="Times New Roman"/>
          <w:color w:val="1A1A1A"/>
          <w:sz w:val="22"/>
          <w:szCs w:val="22"/>
        </w:rPr>
        <w:t xml:space="preserve">For multi-region disaster recovery, an asynchronous replication pipeline streams all mutations to a standby cluster in a geographically separate data center. This standby can be activated within minutes (RTO), with a potential data loss window of seconds to minutes (RPO) depending on replication lag. The RTO/RPO targets are: intra-region failover RTO &lt; 1 second with RPO = 0 (synchronous); cross-region failover RTO &lt; 5 minutes with RPO &lt; 30 seconds (asynchronous).</w:t>
      </w:r>
    </w:p>
    <w:p>
      <w:pPr>
        <w:pStyle w:val="Heading1"/>
        <w:spacing w:after="200" w:before="480" w:line="312"/>
      </w:pPr>
      <w:bookmarkStart w:id="100044" w:name="_Toc100044"/>
      <w:r>
        <w:rPr>
          <w:rFonts w:ascii="Times New Roman"/>
          <w:b/>
          <w:bCs/>
          <w:color w:val="0F2027"/>
          <w:sz w:val="36"/>
          <w:szCs w:val="36"/>
        </w:rPr>
        <w:t xml:space="preserve">Section 5: Blockchain Infrastructure</w:t>
      </w:r>
      <w:bookmarkEnd w:id="100044"/>
    </w:p>
    <w:p>
      <w:pPr>
        <w:pStyle w:val="Heading2"/>
        <w:spacing w:after="160" w:before="360" w:line="312"/>
      </w:pPr>
      <w:bookmarkStart w:id="100045" w:name="_Toc100045"/>
      <w:r>
        <w:rPr>
          <w:rFonts w:ascii="Times New Roman"/>
          <w:b/>
          <w:bCs/>
          <w:color w:val="0F2027"/>
          <w:sz w:val="30"/>
          <w:szCs w:val="30"/>
        </w:rPr>
        <w:t xml:space="preserve">5.1 Supported Networks</w:t>
      </w:r>
      <w:bookmarkEnd w:id="100045"/>
    </w:p>
    <w:p>
      <w:pPr>
        <w:spacing w:after="120" w:line="312"/>
        <w:jc w:val="both"/>
      </w:pPr>
      <w:r>
        <w:rPr>
          <w:rFonts w:ascii="Times New Roman"/>
          <w:color w:val="1A1A1A"/>
          <w:sz w:val="22"/>
          <w:szCs w:val="22"/>
        </w:rPr>
        <w:t xml:space="preserve">The platform supports integration with all major blockchain networks for deposit and withdrawal processing. The initial launch supports Bitcoin (BTC), Ethereum (ETH), BNB Chain (BNB), Solana (SOL), Polygon (MATIC), Tron (TRX), Avalanche (AVAX), Arbitrum (ARB), Optimism (OP), and Base, with a roadmap to add support for 30+ additional networks. Each blockchain integration requires a dedicated Node Service that manages the connection to the blockchain network, handles address generation, monitors for deposits, broadcasts withdrawals, and validates transactions.</w:t>
      </w:r>
    </w:p>
    <w:p>
      <w:pPr>
        <w:keepNext/>
        <w:spacing w:after="80" w:before="200" w:line="312"/>
      </w:pPr>
      <w:r>
        <w:rPr>
          <w:rFonts w:ascii="Times New Roman"/>
          <w:b/>
          <w:bCs/>
          <w:i/>
          <w:iCs/>
          <w:color w:val="4A6575"/>
          <w:sz w:val="20"/>
          <w:szCs w:val="20"/>
        </w:rPr>
        <w:t xml:space="preserve">Table 5.1: Blockchain Network Support Matrix</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Network</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Consensus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Confirmation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Address Format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Node Type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Bitcoin</w:t>
            </w:r>
          </w:p>
        </w:tc>
        <w:tc>
          <w:tcPr>
            <w:shd w:fill="EDF3F5" w:val="clear"/>
            <w:tcMar>
              <w:top w:type="dxa" w:w="50"/>
              <w:left w:type="dxa" w:w="100"/>
              <w:bottom w:type="dxa" w:w="50"/>
              <w:right w:type="dxa" w:w="100"/>
            </w:tcMar>
          </w:tcPr>
          <w:p>
            <w:r>
              <w:rPr>
                <w:rFonts w:ascii="Times New Roman"/>
                <w:color w:val="1A1A1A"/>
                <w:sz w:val="20"/>
                <w:szCs w:val="20"/>
              </w:rPr>
              <w:t xml:space="preserve">PoW</w:t>
            </w:r>
          </w:p>
        </w:tc>
        <w:tc>
          <w:tcPr>
            <w:shd w:fill="EDF3F5" w:val="clear"/>
            <w:tcMar>
              <w:top w:type="dxa" w:w="50"/>
              <w:left w:type="dxa" w:w="100"/>
              <w:bottom w:type="dxa" w:w="50"/>
              <w:right w:type="dxa" w:w="100"/>
            </w:tcMar>
          </w:tcPr>
          <w:p>
            <w:r>
              <w:rPr>
                <w:rFonts w:ascii="Times New Roman"/>
                <w:color w:val="1A1A1A"/>
                <w:sz w:val="20"/>
                <w:szCs w:val="20"/>
              </w:rPr>
              <w:t xml:space="preserve">3 confirmations</w:t>
            </w:r>
          </w:p>
        </w:tc>
        <w:tc>
          <w:tcPr>
            <w:shd w:fill="EDF3F5" w:val="clear"/>
            <w:tcMar>
              <w:top w:type="dxa" w:w="50"/>
              <w:left w:type="dxa" w:w="100"/>
              <w:bottom w:type="dxa" w:w="50"/>
              <w:right w:type="dxa" w:w="100"/>
            </w:tcMar>
          </w:tcPr>
          <w:p>
            <w:r>
              <w:rPr>
                <w:rFonts w:ascii="Times New Roman"/>
                <w:color w:val="1A1A1A"/>
                <w:sz w:val="20"/>
                <w:szCs w:val="20"/>
              </w:rPr>
              <w:t xml:space="preserve">Native SegWit (bc1)</w:t>
            </w:r>
          </w:p>
        </w:tc>
        <w:tc>
          <w:tcPr>
            <w:shd w:fill="EDF3F5" w:val="clear"/>
            <w:tcMar>
              <w:top w:type="dxa" w:w="50"/>
              <w:left w:type="dxa" w:w="100"/>
              <w:bottom w:type="dxa" w:w="50"/>
              <w:right w:type="dxa" w:w="100"/>
            </w:tcMar>
          </w:tcPr>
          <w:p>
            <w:r>
              <w:rPr>
                <w:rFonts w:ascii="Times New Roman"/>
                <w:color w:val="1A1A1A"/>
                <w:sz w:val="20"/>
                <w:szCs w:val="20"/>
              </w:rPr>
              <w:t xml:space="preserve">Full + Pruned</w:t>
            </w:r>
          </w:p>
        </w:tc>
      </w:tr>
      <w:tr>
        <w:trPr>
          <w:cantSplit/>
        </w:trPr>
        <w:tc>
          <w:tcPr>
            <w:tcMar>
              <w:top w:type="dxa" w:w="50"/>
              <w:left w:type="dxa" w:w="100"/>
              <w:bottom w:type="dxa" w:w="50"/>
              <w:right w:type="dxa" w:w="100"/>
            </w:tcMar>
          </w:tcPr>
          <w:p>
            <w:r>
              <w:rPr>
                <w:rFonts w:ascii="Times New Roman"/>
                <w:color w:val="1A1A1A"/>
                <w:sz w:val="20"/>
                <w:szCs w:val="20"/>
              </w:rPr>
              <w:t xml:space="preserve">Ethereum</w:t>
            </w:r>
          </w:p>
        </w:tc>
        <w:tc>
          <w:tcPr>
            <w:tcMar>
              <w:top w:type="dxa" w:w="50"/>
              <w:left w:type="dxa" w:w="100"/>
              <w:bottom w:type="dxa" w:w="50"/>
              <w:right w:type="dxa" w:w="100"/>
            </w:tcMar>
          </w:tcPr>
          <w:p>
            <w:r>
              <w:rPr>
                <w:rFonts w:ascii="Times New Roman"/>
                <w:color w:val="1A1A1A"/>
                <w:sz w:val="20"/>
                <w:szCs w:val="20"/>
              </w:rPr>
              <w:t xml:space="preserve">PoS</w:t>
            </w:r>
          </w:p>
        </w:tc>
        <w:tc>
          <w:tcPr>
            <w:tcMar>
              <w:top w:type="dxa" w:w="50"/>
              <w:left w:type="dxa" w:w="100"/>
              <w:bottom w:type="dxa" w:w="50"/>
              <w:right w:type="dxa" w:w="100"/>
            </w:tcMar>
          </w:tcPr>
          <w:p>
            <w:r>
              <w:rPr>
                <w:rFonts w:ascii="Times New Roman"/>
                <w:color w:val="1A1A1A"/>
                <w:sz w:val="20"/>
                <w:szCs w:val="20"/>
              </w:rPr>
              <w:t xml:space="preserve">12 confirmations</w:t>
            </w:r>
          </w:p>
        </w:tc>
        <w:tc>
          <w:tcPr>
            <w:tcMar>
              <w:top w:type="dxa" w:w="50"/>
              <w:left w:type="dxa" w:w="100"/>
              <w:bottom w:type="dxa" w:w="50"/>
              <w:right w:type="dxa" w:w="100"/>
            </w:tcMar>
          </w:tcPr>
          <w:p>
            <w:r>
              <w:rPr>
                <w:rFonts w:ascii="Times New Roman"/>
                <w:color w:val="1A1A1A"/>
                <w:sz w:val="20"/>
                <w:szCs w:val="20"/>
              </w:rPr>
              <w:t xml:space="preserve">EIP-55 checksum</w:t>
            </w:r>
          </w:p>
        </w:tc>
        <w:tc>
          <w:tcPr>
            <w:tcMar>
              <w:top w:type="dxa" w:w="50"/>
              <w:left w:type="dxa" w:w="100"/>
              <w:bottom w:type="dxa" w:w="50"/>
              <w:right w:type="dxa" w:w="100"/>
            </w:tcMar>
          </w:tcPr>
          <w:p>
            <w:r>
              <w:rPr>
                <w:rFonts w:ascii="Times New Roman"/>
                <w:color w:val="1A1A1A"/>
                <w:sz w:val="20"/>
                <w:szCs w:val="20"/>
              </w:rPr>
              <w:t xml:space="preserve">Full + Archive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BNB Chain</w:t>
            </w:r>
          </w:p>
        </w:tc>
        <w:tc>
          <w:tcPr>
            <w:shd w:fill="EDF3F5" w:val="clear"/>
            <w:tcMar>
              <w:top w:type="dxa" w:w="50"/>
              <w:left w:type="dxa" w:w="100"/>
              <w:bottom w:type="dxa" w:w="50"/>
              <w:right w:type="dxa" w:w="100"/>
            </w:tcMar>
          </w:tcPr>
          <w:p>
            <w:r>
              <w:rPr>
                <w:rFonts w:ascii="Times New Roman"/>
                <w:color w:val="1A1A1A"/>
                <w:sz w:val="20"/>
                <w:szCs w:val="20"/>
              </w:rPr>
              <w:t xml:space="preserve">PoSA</w:t>
            </w:r>
          </w:p>
        </w:tc>
        <w:tc>
          <w:tcPr>
            <w:shd w:fill="EDF3F5" w:val="clear"/>
            <w:tcMar>
              <w:top w:type="dxa" w:w="50"/>
              <w:left w:type="dxa" w:w="100"/>
              <w:bottom w:type="dxa" w:w="50"/>
              <w:right w:type="dxa" w:w="100"/>
            </w:tcMar>
          </w:tcPr>
          <w:p>
            <w:r>
              <w:rPr>
                <w:rFonts w:ascii="Times New Roman"/>
                <w:color w:val="1A1A1A"/>
                <w:sz w:val="20"/>
                <w:szCs w:val="20"/>
              </w:rPr>
              <w:t xml:space="preserve">15 confirmations</w:t>
            </w:r>
          </w:p>
        </w:tc>
        <w:tc>
          <w:tcPr>
            <w:shd w:fill="EDF3F5" w:val="clear"/>
            <w:tcMar>
              <w:top w:type="dxa" w:w="50"/>
              <w:left w:type="dxa" w:w="100"/>
              <w:bottom w:type="dxa" w:w="50"/>
              <w:right w:type="dxa" w:w="100"/>
            </w:tcMar>
          </w:tcPr>
          <w:p>
            <w:r>
              <w:rPr>
                <w:rFonts w:ascii="Times New Roman"/>
                <w:color w:val="1A1A1A"/>
                <w:sz w:val="20"/>
                <w:szCs w:val="20"/>
              </w:rPr>
              <w:t xml:space="preserve">BEP-2/BEP-20</w:t>
            </w:r>
          </w:p>
        </w:tc>
        <w:tc>
          <w:tcPr>
            <w:shd w:fill="EDF3F5" w:val="clear"/>
            <w:tcMar>
              <w:top w:type="dxa" w:w="50"/>
              <w:left w:type="dxa" w:w="100"/>
              <w:bottom w:type="dxa" w:w="50"/>
              <w:right w:type="dxa" w:w="100"/>
            </w:tcMar>
          </w:tcPr>
          <w:p>
            <w:r>
              <w:rPr>
                <w:rFonts w:ascii="Times New Roman"/>
                <w:color w:val="1A1A1A"/>
                <w:sz w:val="20"/>
                <w:szCs w:val="20"/>
              </w:rPr>
              <w:t xml:space="preserve">Full node</w:t>
            </w:r>
          </w:p>
        </w:tc>
      </w:tr>
      <w:tr>
        <w:trPr>
          <w:cantSplit/>
        </w:trPr>
        <w:tc>
          <w:tcPr>
            <w:tcMar>
              <w:top w:type="dxa" w:w="50"/>
              <w:left w:type="dxa" w:w="100"/>
              <w:bottom w:type="dxa" w:w="50"/>
              <w:right w:type="dxa" w:w="100"/>
            </w:tcMar>
          </w:tcPr>
          <w:p>
            <w:r>
              <w:rPr>
                <w:rFonts w:ascii="Times New Roman"/>
                <w:color w:val="1A1A1A"/>
                <w:sz w:val="20"/>
                <w:szCs w:val="20"/>
              </w:rPr>
              <w:t xml:space="preserve">Solana</w:t>
            </w:r>
          </w:p>
        </w:tc>
        <w:tc>
          <w:tcPr>
            <w:tcMar>
              <w:top w:type="dxa" w:w="50"/>
              <w:left w:type="dxa" w:w="100"/>
              <w:bottom w:type="dxa" w:w="50"/>
              <w:right w:type="dxa" w:w="100"/>
            </w:tcMar>
          </w:tcPr>
          <w:p>
            <w:r>
              <w:rPr>
                <w:rFonts w:ascii="Times New Roman"/>
                <w:color w:val="1A1A1A"/>
                <w:sz w:val="20"/>
                <w:szCs w:val="20"/>
              </w:rPr>
              <w:t xml:space="preserve">PoH/PoS</w:t>
            </w:r>
          </w:p>
        </w:tc>
        <w:tc>
          <w:tcPr>
            <w:tcMar>
              <w:top w:type="dxa" w:w="50"/>
              <w:left w:type="dxa" w:w="100"/>
              <w:bottom w:type="dxa" w:w="50"/>
              <w:right w:type="dxa" w:w="100"/>
            </w:tcMar>
          </w:tcPr>
          <w:p>
            <w:r>
              <w:rPr>
                <w:rFonts w:ascii="Times New Roman"/>
                <w:color w:val="1A1A1A"/>
                <w:sz w:val="20"/>
                <w:szCs w:val="20"/>
              </w:rPr>
              <w:t xml:space="preserve">1 confirmation</w:t>
            </w:r>
          </w:p>
        </w:tc>
        <w:tc>
          <w:tcPr>
            <w:tcMar>
              <w:top w:type="dxa" w:w="50"/>
              <w:left w:type="dxa" w:w="100"/>
              <w:bottom w:type="dxa" w:w="50"/>
              <w:right w:type="dxa" w:w="100"/>
            </w:tcMar>
          </w:tcPr>
          <w:p>
            <w:r>
              <w:rPr>
                <w:rFonts w:ascii="Times New Roman"/>
                <w:color w:val="1A1A1A"/>
                <w:sz w:val="20"/>
                <w:szCs w:val="20"/>
              </w:rPr>
              <w:t xml:space="preserve">Base58</w:t>
            </w:r>
          </w:p>
        </w:tc>
        <w:tc>
          <w:tcPr>
            <w:tcMar>
              <w:top w:type="dxa" w:w="50"/>
              <w:left w:type="dxa" w:w="100"/>
              <w:bottom w:type="dxa" w:w="50"/>
              <w:right w:type="dxa" w:w="100"/>
            </w:tcMar>
          </w:tcPr>
          <w:p>
            <w:r>
              <w:rPr>
                <w:rFonts w:ascii="Times New Roman"/>
                <w:color w:val="1A1A1A"/>
                <w:sz w:val="20"/>
                <w:szCs w:val="20"/>
              </w:rPr>
              <w:t xml:space="preserve">Validator RPC</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Polygon</w:t>
            </w:r>
          </w:p>
        </w:tc>
        <w:tc>
          <w:tcPr>
            <w:shd w:fill="EDF3F5" w:val="clear"/>
            <w:tcMar>
              <w:top w:type="dxa" w:w="50"/>
              <w:left w:type="dxa" w:w="100"/>
              <w:bottom w:type="dxa" w:w="50"/>
              <w:right w:type="dxa" w:w="100"/>
            </w:tcMar>
          </w:tcPr>
          <w:p>
            <w:r>
              <w:rPr>
                <w:rFonts w:ascii="Times New Roman"/>
                <w:color w:val="1A1A1A"/>
                <w:sz w:val="20"/>
                <w:szCs w:val="20"/>
              </w:rPr>
              <w:t xml:space="preserve">PoS</w:t>
            </w:r>
          </w:p>
        </w:tc>
        <w:tc>
          <w:tcPr>
            <w:shd w:fill="EDF3F5" w:val="clear"/>
            <w:tcMar>
              <w:top w:type="dxa" w:w="50"/>
              <w:left w:type="dxa" w:w="100"/>
              <w:bottom w:type="dxa" w:w="50"/>
              <w:right w:type="dxa" w:w="100"/>
            </w:tcMar>
          </w:tcPr>
          <w:p>
            <w:r>
              <w:rPr>
                <w:rFonts w:ascii="Times New Roman"/>
                <w:color w:val="1A1A1A"/>
                <w:sz w:val="20"/>
                <w:szCs w:val="20"/>
              </w:rPr>
              <w:t xml:space="preserve">128 confirmations</w:t>
            </w:r>
          </w:p>
        </w:tc>
        <w:tc>
          <w:tcPr>
            <w:shd w:fill="EDF3F5" w:val="clear"/>
            <w:tcMar>
              <w:top w:type="dxa" w:w="50"/>
              <w:left w:type="dxa" w:w="100"/>
              <w:bottom w:type="dxa" w:w="50"/>
              <w:right w:type="dxa" w:w="100"/>
            </w:tcMar>
          </w:tcPr>
          <w:p>
            <w:r>
              <w:rPr>
                <w:rFonts w:ascii="Times New Roman"/>
                <w:color w:val="1A1A1A"/>
                <w:sz w:val="20"/>
                <w:szCs w:val="20"/>
              </w:rPr>
              <w:t xml:space="preserve">EIP-55 (Matic)</w:t>
            </w:r>
          </w:p>
        </w:tc>
        <w:tc>
          <w:tcPr>
            <w:shd w:fill="EDF3F5" w:val="clear"/>
            <w:tcMar>
              <w:top w:type="dxa" w:w="50"/>
              <w:left w:type="dxa" w:w="100"/>
              <w:bottom w:type="dxa" w:w="50"/>
              <w:right w:type="dxa" w:w="100"/>
            </w:tcMar>
          </w:tcPr>
          <w:p>
            <w:r>
              <w:rPr>
                <w:rFonts w:ascii="Times New Roman"/>
                <w:color w:val="1A1A1A"/>
                <w:sz w:val="20"/>
                <w:szCs w:val="20"/>
              </w:rPr>
              <w:t xml:space="preserve">Full node</w:t>
            </w:r>
          </w:p>
        </w:tc>
      </w:tr>
      <w:tr>
        <w:trPr>
          <w:cantSplit/>
        </w:trPr>
        <w:tc>
          <w:tcPr>
            <w:tcMar>
              <w:top w:type="dxa" w:w="50"/>
              <w:left w:type="dxa" w:w="100"/>
              <w:bottom w:type="dxa" w:w="50"/>
              <w:right w:type="dxa" w:w="100"/>
            </w:tcMar>
          </w:tcPr>
          <w:p>
            <w:r>
              <w:rPr>
                <w:rFonts w:ascii="Times New Roman"/>
                <w:color w:val="1A1A1A"/>
                <w:sz w:val="20"/>
                <w:szCs w:val="20"/>
              </w:rPr>
              <w:t xml:space="preserve">Tron</w:t>
            </w:r>
          </w:p>
        </w:tc>
        <w:tc>
          <w:tcPr>
            <w:tcMar>
              <w:top w:type="dxa" w:w="50"/>
              <w:left w:type="dxa" w:w="100"/>
              <w:bottom w:type="dxa" w:w="50"/>
              <w:right w:type="dxa" w:w="100"/>
            </w:tcMar>
          </w:tcPr>
          <w:p>
            <w:r>
              <w:rPr>
                <w:rFonts w:ascii="Times New Roman"/>
                <w:color w:val="1A1A1A"/>
                <w:sz w:val="20"/>
                <w:szCs w:val="20"/>
              </w:rPr>
              <w:t xml:space="preserve">DPoS</w:t>
            </w:r>
          </w:p>
        </w:tc>
        <w:tc>
          <w:tcPr>
            <w:tcMar>
              <w:top w:type="dxa" w:w="50"/>
              <w:left w:type="dxa" w:w="100"/>
              <w:bottom w:type="dxa" w:w="50"/>
              <w:right w:type="dxa" w:w="100"/>
            </w:tcMar>
          </w:tcPr>
          <w:p>
            <w:r>
              <w:rPr>
                <w:rFonts w:ascii="Times New Roman"/>
                <w:color w:val="1A1A1A"/>
                <w:sz w:val="20"/>
                <w:szCs w:val="20"/>
              </w:rPr>
              <w:t xml:space="preserve">20 confirmations</w:t>
            </w:r>
          </w:p>
        </w:tc>
        <w:tc>
          <w:tcPr>
            <w:tcMar>
              <w:top w:type="dxa" w:w="50"/>
              <w:left w:type="dxa" w:w="100"/>
              <w:bottom w:type="dxa" w:w="50"/>
              <w:right w:type="dxa" w:w="100"/>
            </w:tcMar>
          </w:tcPr>
          <w:p>
            <w:r>
              <w:rPr>
                <w:rFonts w:ascii="Times New Roman"/>
                <w:color w:val="1A1A1A"/>
                <w:sz w:val="20"/>
                <w:szCs w:val="20"/>
              </w:rPr>
              <w:t xml:space="preserve">Base58 (T-address)</w:t>
            </w:r>
          </w:p>
        </w:tc>
        <w:tc>
          <w:tcPr>
            <w:tcMar>
              <w:top w:type="dxa" w:w="50"/>
              <w:left w:type="dxa" w:w="100"/>
              <w:bottom w:type="dxa" w:w="50"/>
              <w:right w:type="dxa" w:w="100"/>
            </w:tcMar>
          </w:tcPr>
          <w:p>
            <w:r>
              <w:rPr>
                <w:rFonts w:ascii="Times New Roman"/>
                <w:color w:val="1A1A1A"/>
                <w:sz w:val="20"/>
                <w:szCs w:val="20"/>
              </w:rPr>
              <w:t xml:space="preserve">Full node</w:t>
            </w:r>
          </w:p>
        </w:tc>
      </w:tr>
    </w:tbl>
    <w:p>
      <w:pPr>
        <w:spacing w:after="60" w:before="60"/>
      </w:pPr>
    </w:p>
    <w:p>
      <w:pPr>
        <w:pStyle w:val="Heading2"/>
        <w:spacing w:after="160" w:before="360" w:line="312"/>
      </w:pPr>
      <w:bookmarkStart w:id="100046" w:name="_Toc100046"/>
      <w:r>
        <w:rPr>
          <w:rFonts w:ascii="Times New Roman"/>
          <w:b/>
          <w:bCs/>
          <w:color w:val="0F2027"/>
          <w:sz w:val="30"/>
          <w:szCs w:val="30"/>
        </w:rPr>
        <w:t xml:space="preserve">5.2 Node Architecture</w:t>
      </w:r>
      <w:bookmarkEnd w:id="100046"/>
    </w:p>
    <w:p>
      <w:pPr>
        <w:spacing w:after="120" w:line="312"/>
        <w:jc w:val="both"/>
      </w:pPr>
      <w:r>
        <w:rPr>
          <w:rFonts w:ascii="Times New Roman"/>
          <w:color w:val="1A1A1A"/>
          <w:sz w:val="22"/>
          <w:szCs w:val="22"/>
        </w:rPr>
        <w:t xml:space="preserve">Each supported blockchain operates a cluster of nodes deployed across multiple availability zones to ensure redundancy and uptime. Node clusters consist of at least 3 full nodes (for transaction validation and broadcasting) and 1 archive node (for historical data queries and debugging). Nodes are monitored by a Node Health Service that continuously checks block synchronization status, peer count, response latency, and disk usage. If a node falls behind the chain tip by more than a configured threshold (e.g., 10 blocks for Bitcoin, 5 epochs for Ethereum), it is automatically excluded from the rotation and flagged for manual intervention.</w:t>
      </w:r>
    </w:p>
    <w:p>
      <w:pPr>
        <w:spacing w:after="120" w:line="312"/>
        <w:jc w:val="both"/>
      </w:pPr>
      <w:r>
        <w:rPr>
          <w:rFonts w:ascii="Times New Roman"/>
          <w:color w:val="1A1A1A"/>
          <w:sz w:val="22"/>
          <w:szCs w:val="22"/>
        </w:rPr>
        <w:t xml:space="preserve">For high-throughput chains like Solana and BNB Chain, dedicated RPC nodes are deployed behind a load balancer to distribute request load. These RPC nodes are configured with higher connection limits and optimized for read-heavy workloads (balance queries, transaction status checks). Write operations (withdrawal broadcasting) go through a separate set of nodes with elevated security (rate limiting, transaction size validation, minimum fee enforcement).</w:t>
      </w:r>
    </w:p>
    <w:p>
      <w:pPr>
        <w:pStyle w:val="Heading2"/>
        <w:spacing w:after="160" w:before="360" w:line="312"/>
      </w:pPr>
      <w:bookmarkStart w:id="100047" w:name="_Toc100047"/>
      <w:r>
        <w:rPr>
          <w:rFonts w:ascii="Times New Roman"/>
          <w:b/>
          <w:bCs/>
          <w:color w:val="0F2027"/>
          <w:sz w:val="30"/>
          <w:szCs w:val="30"/>
        </w:rPr>
        <w:t xml:space="preserve">5.3 Deposit Monitoring</w:t>
      </w:r>
      <w:bookmarkEnd w:id="100047"/>
    </w:p>
    <w:p>
      <w:pPr>
        <w:spacing w:after="120" w:line="312"/>
        <w:jc w:val="both"/>
      </w:pPr>
      <w:r>
        <w:rPr>
          <w:rFonts w:ascii="Times New Roman"/>
          <w:color w:val="1A1A1A"/>
          <w:sz w:val="22"/>
          <w:szCs w:val="22"/>
        </w:rPr>
        <w:t xml:space="preserve">The Deposit Monitor is a service that continuously watches each supported blockchain for incoming transactions to user deposit addresses. It operates by connecting to each node's RPC/WebSocket interface and subscribing to new block events or pending transaction mempool events (where supported). When a new transaction is detected involving a deposit address, the monitor validates the transaction structure (correct recipient address, sufficient confirmations, valid amount), checks for known malicious inputs (sanctions-flagged addresses, mixer outputs), and creates a deposit record in the database with status PENDING.</w:t>
      </w:r>
    </w:p>
    <w:p>
      <w:pPr>
        <w:spacing w:after="120" w:line="312"/>
        <w:jc w:val="both"/>
      </w:pPr>
      <w:r>
        <w:rPr>
          <w:rFonts w:ascii="Times New Roman"/>
          <w:color w:val="1A1A1A"/>
          <w:sz w:val="22"/>
          <w:szCs w:val="22"/>
        </w:rPr>
        <w:t xml:space="preserve">Confirmation tracking involves waiting for the required number of network confirmations (configurable per asset) before changing the deposit status to CONFIRMED and crediting the user's account balance. The confirmation engine polls each node at regular intervals (every 5-10 seconds) to check the current block height and compare it against the deposit transaction's block height. Once confirmed, the deposit is published as an event to Kafka, triggering the Wallet Service to update the user's available balance.</w:t>
      </w:r>
    </w:p>
    <w:p>
      <w:pPr>
        <w:pStyle w:val="Heading2"/>
        <w:spacing w:after="160" w:before="360" w:line="312"/>
      </w:pPr>
      <w:bookmarkStart w:id="100048" w:name="_Toc100048"/>
      <w:r>
        <w:rPr>
          <w:rFonts w:ascii="Times New Roman"/>
          <w:b/>
          <w:bCs/>
          <w:color w:val="0F2027"/>
          <w:sz w:val="30"/>
          <w:szCs w:val="30"/>
        </w:rPr>
        <w:t xml:space="preserve">5.4 Address Generation and Key Management</w:t>
      </w:r>
      <w:bookmarkEnd w:id="100048"/>
    </w:p>
    <w:p>
      <w:pPr>
        <w:spacing w:after="120" w:line="312"/>
        <w:jc w:val="both"/>
      </w:pPr>
      <w:r>
        <w:rPr>
          <w:rFonts w:ascii="Times New Roman"/>
          <w:color w:val="1A1A1A"/>
          <w:sz w:val="22"/>
          <w:szCs w:val="22"/>
        </w:rPr>
        <w:t xml:space="preserve">Deposit addresses are generated using Hierarchical Deterministic (HD) wallet key derivation (BIP-32/BIP-44). The master seed is split using Shamir's Secret Sharing (SSS) and distributed across multiple HSMs and offline storage locations. Each user receives a unique deposit address derived from their user ID, the asset identifier, and a derivation counter (incremented for each new address). The derivation path follows the standard BIP-44 structure: m/purpose'/coin_type'/account'/change/address_index.</w:t>
      </w:r>
    </w:p>
    <w:p>
      <w:pPr>
        <w:spacing w:after="120" w:line="312"/>
        <w:jc w:val="both"/>
      </w:pPr>
      <w:r>
        <w:rPr>
          <w:rFonts w:ascii="Times New Roman"/>
          <w:color w:val="1A1A1A"/>
          <w:sz w:val="22"/>
          <w:szCs w:val="22"/>
        </w:rPr>
        <w:t xml:space="preserve">Key management for withdrawal signing uses a combination of HSM-based hot signing (for routine small withdrawals) and MPC-based cold signing (for large withdrawals and master key operations). The HSM cluster (Thales Luna, AWS CloudHSM, or equivalent) stores the hot wallet private keys in FIPS 140-2 Level 3 certified hardware, ensuring keys never leave the secure boundary in plaintext. MPC wallets use threshold signature schemes (e.g., GG20, CMP20) where the private key is split into N shares distributed across independent nodes, and M-of-N signatures are required to authorize a transaction.</w:t>
      </w:r>
    </w:p>
    <w:p>
      <w:pPr>
        <w:pStyle w:val="Heading1"/>
        <w:spacing w:after="200" w:before="480" w:line="312"/>
      </w:pPr>
      <w:bookmarkStart w:id="100049" w:name="_Toc100049"/>
      <w:r>
        <w:rPr>
          <w:rFonts w:ascii="Times New Roman"/>
          <w:b/>
          <w:bCs/>
          <w:color w:val="0F2027"/>
          <w:sz w:val="36"/>
          <w:szCs w:val="36"/>
        </w:rPr>
        <w:t xml:space="preserve">Section 6: Wallet Security</w:t>
      </w:r>
      <w:bookmarkEnd w:id="100049"/>
    </w:p>
    <w:p>
      <w:pPr>
        <w:pStyle w:val="Heading2"/>
        <w:spacing w:after="160" w:before="360" w:line="312"/>
      </w:pPr>
      <w:bookmarkStart w:id="100050" w:name="_Toc100050"/>
      <w:r>
        <w:rPr>
          <w:rFonts w:ascii="Times New Roman"/>
          <w:b/>
          <w:bCs/>
          <w:color w:val="0F2027"/>
          <w:sz w:val="30"/>
          <w:szCs w:val="30"/>
        </w:rPr>
        <w:t xml:space="preserve">6.1 Hot Wallet Architecture</w:t>
      </w:r>
      <w:bookmarkEnd w:id="100050"/>
    </w:p>
    <w:p>
      <w:pPr>
        <w:spacing w:after="120" w:line="312"/>
        <w:jc w:val="both"/>
      </w:pPr>
      <w:r>
        <w:rPr>
          <w:rFonts w:ascii="Times New Roman"/>
          <w:color w:val="1A1A1A"/>
          <w:sz w:val="22"/>
          <w:szCs w:val="22"/>
        </w:rPr>
        <w:t xml:space="preserve">The hot wallet is the primary online wallet used for processing deposits and withdrawals in real-time. Hot wallet keys are stored in Hardware Security Modules (HSMs) with FIPS 140-2 Level 3 certification. The hot wallet holds only 2-5% of total platform assets, sufficient to handle normal daily withdrawal volumes with automatic replenishment from warm wallets when the balance falls below a configured threshold. All hot wallet transactions are signed within the HSM boundary, ensuring that private keys never exist in plaintext outside the hardware security perimeter.</w:t>
      </w:r>
    </w:p>
    <w:p>
      <w:pPr>
        <w:spacing w:after="120" w:line="312"/>
        <w:jc w:val="both"/>
      </w:pPr>
      <w:r>
        <w:rPr>
          <w:rFonts w:ascii="Times New Roman"/>
          <w:color w:val="1A1A1A"/>
          <w:sz w:val="22"/>
          <w:szCs w:val="22"/>
        </w:rPr>
        <w:t xml:space="preserve">The hot wallet operates in a tiered architecture: Tier 1 processes withdrawals up to USD 10,000 equivalent automatically with HSM-only signing; Tier 2 processes withdrawals up to USD 100,000 with HSM signing plus operator approval; Tier 3 handles any amount exceeding Tier 2 limits with full multi-party approval (2-of-3 quorum). Each tier has different balance allocations, access controls, and audit requirements. The hot wallet is monitored 24/7 by the Wallet Monitoring Service, which tracks all transactions, balance levels, and anomalous patterns.</w:t>
      </w:r>
    </w:p>
    <w:p>
      <w:pPr>
        <w:pStyle w:val="Heading2"/>
        <w:spacing w:after="160" w:before="360" w:line="312"/>
      </w:pPr>
      <w:bookmarkStart w:id="100051" w:name="_Toc100051"/>
      <w:r>
        <w:rPr>
          <w:rFonts w:ascii="Times New Roman"/>
          <w:b/>
          <w:bCs/>
          <w:color w:val="0F2027"/>
          <w:sz w:val="30"/>
          <w:szCs w:val="30"/>
        </w:rPr>
        <w:t xml:space="preserve">6.2 Warm Wallet Architecture</w:t>
      </w:r>
      <w:bookmarkEnd w:id="100051"/>
    </w:p>
    <w:p>
      <w:pPr>
        <w:spacing w:after="120" w:line="312"/>
        <w:jc w:val="both"/>
      </w:pPr>
      <w:r>
        <w:rPr>
          <w:rFonts w:ascii="Times New Roman"/>
          <w:color w:val="1A1A1A"/>
          <w:sz w:val="22"/>
          <w:szCs w:val="22"/>
        </w:rPr>
        <w:t xml:space="preserve">The warm wallet is a semi-online wallet that requires manual or semi-automated authorization for outbound transactions. Warm wallet keys are stored on air-gapped signing servers housed in secure facilities with physical access controls (biometric entry, 24/7 security cameras, dual-control access). To initiate a warm wallet transaction, an authorized operator must submit a signing request through a secure terminal, which is then approved by a second authorized operator (4-eyes principle). The signing server creates the transaction signature without exposing the private key, and the signed transaction is returned to the online system for broadcasting.</w:t>
      </w:r>
    </w:p>
    <w:p>
      <w:pPr>
        <w:spacing w:after="120" w:line="312"/>
        <w:jc w:val="both"/>
      </w:pPr>
      <w:r>
        <w:rPr>
          <w:rFonts w:ascii="Times New Roman"/>
          <w:color w:val="1A1A1A"/>
          <w:sz w:val="22"/>
          <w:szCs w:val="22"/>
        </w:rPr>
        <w:t xml:space="preserve">The warm wallet serves as the buffer between the hot and cold wallets, holding 10-15% of total assets. It replenishes the hot wallet automatically when the hot balance falls below the replenishment threshold (e.g., below 48 hours of projected withdrawal volume) and receives transfers from the cold wallet during scheduled reconciliation ceremonies (weekly or as needed). Warm wallet operations are subject to dual-control procedures, time-locked transactions (optional delay of up to 24 hours for large amounts), and full audit logging.</w:t>
      </w:r>
    </w:p>
    <w:p>
      <w:pPr>
        <w:pStyle w:val="Heading2"/>
        <w:spacing w:after="160" w:before="360" w:line="312"/>
      </w:pPr>
      <w:bookmarkStart w:id="100052" w:name="_Toc100052"/>
      <w:r>
        <w:rPr>
          <w:rFonts w:ascii="Times New Roman"/>
          <w:b/>
          <w:bCs/>
          <w:color w:val="0F2027"/>
          <w:sz w:val="30"/>
          <w:szCs w:val="30"/>
        </w:rPr>
        <w:t xml:space="preserve">6.3 Cold Wallet Architecture</w:t>
      </w:r>
      <w:bookmarkEnd w:id="100052"/>
    </w:p>
    <w:p>
      <w:pPr>
        <w:spacing w:after="120" w:line="312"/>
        <w:jc w:val="both"/>
      </w:pPr>
      <w:r>
        <w:rPr>
          <w:rFonts w:ascii="Times New Roman"/>
          <w:color w:val="1A1A1A"/>
          <w:sz w:val="22"/>
          <w:szCs w:val="22"/>
        </w:rPr>
        <w:t xml:space="preserve">The cold wallet stores the majority of platform assets (80-88%) in offline, air-gapped storage. Cold wallet keys are generated during a multi-party key ceremony conducted in a secure facility with all participants present, video recorded, and documented. The key material is split using Shamir's Secret Sharing (SSS) with a 5-of-8 threshold: at least 5 of 8 key share holders must be present and verified to reconstruct the signing key. Key shares are stored in geographically distributed secure locations (bank safe deposit boxes, specialized custody vaults, encrypted offline devices).</w:t>
      </w:r>
    </w:p>
    <w:p>
      <w:pPr>
        <w:spacing w:after="120" w:line="312"/>
        <w:jc w:val="both"/>
      </w:pPr>
      <w:r>
        <w:rPr>
          <w:rFonts w:ascii="Times New Roman"/>
          <w:color w:val="1A1A1A"/>
          <w:sz w:val="22"/>
          <w:szCs w:val="22"/>
        </w:rPr>
        <w:t xml:space="preserve">Cold wallet signing ceremonies are scheduled events requiring physical assembly of key share holders. The ceremony follows a strict protocol: identity verification of all participants, verification of the signing request details (recipient address, amount, asset, transaction ID), reconstruction of the signing key in a secure computing environment, signing of the transaction, immediate destruction of the reconstructed key from memory, and distribution of signed transaction for broadcasting. Ceremonies are video recorded and documented for audit purposes.</w:t>
      </w:r>
    </w:p>
    <w:p>
      <w:pPr>
        <w:pStyle w:val="Heading2"/>
        <w:spacing w:after="160" w:before="360" w:line="312"/>
      </w:pPr>
      <w:bookmarkStart w:id="100053" w:name="_Toc100053"/>
      <w:r>
        <w:rPr>
          <w:rFonts w:ascii="Times New Roman"/>
          <w:b/>
          <w:bCs/>
          <w:color w:val="0F2027"/>
          <w:sz w:val="30"/>
          <w:szCs w:val="30"/>
        </w:rPr>
        <w:t xml:space="preserve">6.4 HSM Integration and MPC Wallets</w:t>
      </w:r>
      <w:bookmarkEnd w:id="100053"/>
    </w:p>
    <w:p>
      <w:pPr>
        <w:spacing w:after="120" w:line="312"/>
        <w:jc w:val="both"/>
      </w:pPr>
      <w:r>
        <w:rPr>
          <w:rFonts w:ascii="Times New Roman"/>
          <w:color w:val="1A1A1A"/>
          <w:sz w:val="22"/>
          <w:szCs w:val="22"/>
        </w:rPr>
        <w:t xml:space="preserve">Hardware Security Modules provide the highest level of key protection for online operations. HSMs are deployed in clusters of at least 3 across different availability zones, providing both high availability and geographic distribution. Each HSM operates in a quorum mode where multiple HSMs must participate in the signing operation (N-of-M threshold). The HSM cluster is managed through a dedicated Key Management Service (KMS) that handles key lifecycle operations: key generation, key rotation, key backup, key destruction, and access control policy enforcement.</w:t>
      </w:r>
    </w:p>
    <w:p>
      <w:pPr>
        <w:spacing w:after="120" w:line="312"/>
        <w:jc w:val="both"/>
      </w:pPr>
      <w:r>
        <w:rPr>
          <w:rFonts w:ascii="Times New Roman"/>
          <w:color w:val="1A1A1A"/>
          <w:sz w:val="22"/>
          <w:szCs w:val="22"/>
        </w:rPr>
        <w:t xml:space="preserve">Multi-Party Computation (MPC) wallets provide an additional layer of operational security by eliminating single points of compromise for key material. In an MPC scheme, the private key is never assembled in any single location. Instead, key generation and signing are performed through a cryptographic protocol where multiple parties each hold a share of the key and must collaborate to produce a valid signature. The platform uses MPC for warm wallet operations and as a backup recovery mechanism for cold wallet keys. MPC node operators are independent entities (ideally in different jurisdictions) to prevent collusion.</w:t>
      </w:r>
    </w:p>
    <w:p>
      <w:pPr>
        <w:pStyle w:val="Heading2"/>
        <w:spacing w:after="160" w:before="360" w:line="312"/>
      </w:pPr>
      <w:bookmarkStart w:id="100054" w:name="_Toc100054"/>
      <w:r>
        <w:rPr>
          <w:rFonts w:ascii="Times New Roman"/>
          <w:b/>
          <w:bCs/>
          <w:color w:val="0F2027"/>
          <w:sz w:val="30"/>
          <w:szCs w:val="30"/>
        </w:rPr>
        <w:t xml:space="preserve">6.5 Withdrawal Approval Workflow</w:t>
      </w:r>
      <w:bookmarkEnd w:id="100054"/>
    </w:p>
    <w:p>
      <w:pPr>
        <w:shd w:fill="F0F4F8" w:val="clear"/>
        <w:spacing w:after="80" w:before="80" w:line="276"/>
        <w:ind w:left="200"/>
      </w:pPr>
      <w:r>
        <w:rPr>
          <w:rFonts w:ascii="Courier New"/>
          <w:color w:val="4A6575"/>
          <w:sz w:val="17"/>
          <w:szCs w:val="17"/>
        </w:rPr>
        <w:t xml:space="preserve">Withdrawal Request --&gt; Amount Check; Amount &lt; 10K --&gt; HSM Auto-Sign --&gt; Broadcast; Amount 10K-100K --&gt; HSM Sign + Operator A Approve --&gt; Broadcast; Amount &gt; 100K --&gt; HSM Sign + Operator A + B Approve + Time Lock --&gt; Broadcast; Amount &gt; 1M --&gt; Cold Wallet Ceremony --&gt; Broadcast;</w:t>
      </w:r>
    </w:p>
    <w:p>
      <w:pPr>
        <w:spacing w:after="60" w:before="60"/>
      </w:pPr>
    </w:p>
    <w:p>
      <w:pPr>
        <w:pStyle w:val="Heading1"/>
        <w:spacing w:after="200" w:before="480" w:line="312"/>
      </w:pPr>
      <w:bookmarkStart w:id="100055" w:name="_Toc100055"/>
      <w:r>
        <w:rPr>
          <w:rFonts w:ascii="Times New Roman"/>
          <w:b/>
          <w:bCs/>
          <w:color w:val="0F2027"/>
          <w:sz w:val="36"/>
          <w:szCs w:val="36"/>
        </w:rPr>
        <w:t xml:space="preserve">Section 7: Risk Management Engine</w:t>
      </w:r>
      <w:bookmarkEnd w:id="100055"/>
    </w:p>
    <w:p>
      <w:pPr>
        <w:pStyle w:val="Heading2"/>
        <w:spacing w:after="160" w:before="360" w:line="312"/>
      </w:pPr>
      <w:bookmarkStart w:id="100056" w:name="_Toc100056"/>
      <w:r>
        <w:rPr>
          <w:rFonts w:ascii="Times New Roman"/>
          <w:b/>
          <w:bCs/>
          <w:color w:val="0F2027"/>
          <w:sz w:val="30"/>
          <w:szCs w:val="30"/>
        </w:rPr>
        <w:t xml:space="preserve">7.1 Position Monitoring</w:t>
      </w:r>
      <w:bookmarkEnd w:id="100056"/>
    </w:p>
    <w:p>
      <w:pPr>
        <w:spacing w:after="120" w:line="312"/>
        <w:jc w:val="both"/>
      </w:pPr>
      <w:r>
        <w:rPr>
          <w:rFonts w:ascii="Times New Roman"/>
          <w:color w:val="1A1A1A"/>
          <w:sz w:val="22"/>
          <w:szCs w:val="22"/>
        </w:rPr>
        <w:t xml:space="preserve">The risk engine continuously monitors all open positions across spot, margin, futures, and options markets. For each user account, it calculates real-time metrics including unrealized profit and loss (PnL), margin ratio, effective leverage, and exposure to individual assets and the overall portfolio. The engine processes mark price updates (from the Mark Price Service) at high frequency (every 100 milliseconds) and recalculates risk metrics for all affected positions. If any account's risk metrics breach predefined thresholds, the engine triggers the appropriate risk management action: margin call notification, forced position reduction, or full liquidation.</w:t>
      </w:r>
    </w:p>
    <w:p>
      <w:pPr>
        <w:pStyle w:val="Heading2"/>
        <w:spacing w:after="160" w:before="360" w:line="312"/>
      </w:pPr>
      <w:bookmarkStart w:id="100057" w:name="_Toc100057"/>
      <w:r>
        <w:rPr>
          <w:rFonts w:ascii="Times New Roman"/>
          <w:b/>
          <w:bCs/>
          <w:color w:val="0F2027"/>
          <w:sz w:val="30"/>
          <w:szCs w:val="30"/>
        </w:rPr>
        <w:t xml:space="preserve">7.2 Liquidation Logic</w:t>
      </w:r>
      <w:bookmarkEnd w:id="100057"/>
    </w:p>
    <w:p>
      <w:pPr>
        <w:spacing w:after="120" w:line="312"/>
        <w:jc w:val="both"/>
      </w:pPr>
      <w:r>
        <w:rPr>
          <w:rFonts w:ascii="Times New Roman"/>
          <w:color w:val="1A1A1A"/>
          <w:sz w:val="22"/>
          <w:szCs w:val="22"/>
        </w:rPr>
        <w:t xml:space="preserve">The liquidation engine is the most critical component of the risk management system, responsible for forcefully closing positions that have insufficient margin to maintain their current exposure. The engine operates as a continuous, high-priority process that scans all accounts with open leveraged positions. For each account, it checks whether the effective margin balance (account equity minus maintenance margin requirement) has fallen below zero. If it has, the liquidation engine takes over the position.</w:t>
      </w:r>
    </w:p>
    <w:p>
      <w:pPr>
        <w:spacing w:after="120" w:line="312"/>
        <w:jc w:val="both"/>
      </w:pPr>
      <w:r>
        <w:rPr>
          <w:rFonts w:ascii="Times New Roman"/>
          <w:color w:val="1A1A1A"/>
          <w:sz w:val="22"/>
          <w:szCs w:val="22"/>
        </w:rPr>
        <w:t xml:space="preserve">The liquidation process works as follows: (1) The engine identifies the position(s) to be liquidated, prioritizing the most under-margined positions first. (2) It submits a liquidation order to the matching engine at the current market price (or slightly worse, incorporating a liquidation penalty). (3) If the liquidation order is filled and the proceeds cover the position's notional value plus any outstanding fees, the liquidation is successful. (4) If the liquidation results in a loss exceeding the position's margin (i.e., the position is underwater even after liquidation), the shortfall is covered by the Insurance Fund. (5) If the Insurance Fund is insufficient, the ADL (Auto-Deleveraging) system is triggered.</w:t>
      </w:r>
    </w:p>
    <w:p>
      <w:pPr>
        <w:pStyle w:val="Heading2"/>
        <w:spacing w:after="160" w:before="360" w:line="312"/>
      </w:pPr>
      <w:bookmarkStart w:id="100058" w:name="_Toc100058"/>
      <w:r>
        <w:rPr>
          <w:rFonts w:ascii="Times New Roman"/>
          <w:b/>
          <w:bCs/>
          <w:color w:val="0F2027"/>
          <w:sz w:val="30"/>
          <w:szCs w:val="30"/>
        </w:rPr>
        <w:t xml:space="preserve">7.3 Insurance Fund</w:t>
      </w:r>
      <w:bookmarkEnd w:id="100058"/>
    </w:p>
    <w:p>
      <w:pPr>
        <w:spacing w:after="120" w:line="312"/>
        <w:jc w:val="both"/>
      </w:pPr>
      <w:r>
        <w:rPr>
          <w:rFonts w:ascii="Times New Roman"/>
          <w:color w:val="1A1A1A"/>
          <w:sz w:val="22"/>
          <w:szCs w:val="22"/>
        </w:rPr>
        <w:t xml:space="preserve">The Insurance Fund is a pool of assets accumulated from liquidation penalties (the spread between the liquidation price and the actual execution price when a position is liquidated at a price better than bankruptcy). The Insurance Fund covers losses that exceed a liquidated position's posted margin, preventing socialized losses among profitable traders. The fund is denominated in USDT (or equivalent stablecoin) and is sized to cover multiple standard deviation events in the most volatile markets.</w:t>
      </w:r>
    </w:p>
    <w:p>
      <w:pPr>
        <w:spacing w:after="120" w:line="312"/>
        <w:jc w:val="both"/>
      </w:pPr>
      <w:r>
        <w:rPr>
          <w:rFonts w:ascii="Times New Roman"/>
          <w:color w:val="1A1A1A"/>
          <w:sz w:val="22"/>
          <w:szCs w:val="22"/>
        </w:rPr>
        <w:t xml:space="preserve">Insurance Fund management includes automatic replenishment through liquidation penalties, manual replenishment from exchange profits (board-approved), regular stress testing to ensure the fund can cover extreme market scenarios (e.g., 30% price move in 1 minute), transparent reporting of fund size to users (published on the website in real-time), and clear rules for ADL triggers and priority queues when the fund is depleted.</w:t>
      </w:r>
    </w:p>
    <w:p>
      <w:pPr>
        <w:pStyle w:val="Heading2"/>
        <w:spacing w:after="160" w:before="360" w:line="312"/>
      </w:pPr>
      <w:bookmarkStart w:id="100059" w:name="_Toc100059"/>
      <w:r>
        <w:rPr>
          <w:rFonts w:ascii="Times New Roman"/>
          <w:b/>
          <w:bCs/>
          <w:color w:val="0F2027"/>
          <w:sz w:val="30"/>
          <w:szCs w:val="30"/>
        </w:rPr>
        <w:t xml:space="preserve">7.4 Fraud Detection and Market Surveillance</w:t>
      </w:r>
      <w:bookmarkEnd w:id="100059"/>
    </w:p>
    <w:p>
      <w:pPr>
        <w:spacing w:after="120" w:line="312"/>
        <w:jc w:val="both"/>
      </w:pPr>
      <w:r>
        <w:rPr>
          <w:rFonts w:ascii="Times New Roman"/>
          <w:color w:val="1A1A1A"/>
          <w:sz w:val="22"/>
          <w:szCs w:val="22"/>
        </w:rPr>
        <w:t xml:space="preserve">The fraud detection system uses a combination of rule-based engines and machine learning models to identify and prevent fraudulent activities. Rule-based detection covers known patterns such as wash trading (self-trading to create fake volume), spoofing (placing and canceling large orders to manipulate price), pump-and-dump schemes (coordinated buying followed by selling), and account takeover patterns (rapid changes in trading behavior, withdrawal to new addresses). ML-based detection uses anomaly detection algorithms (Isolation Forest, autoencoders) trained on historical trading data to identify unusual patterns that may indicate fraud, market manipulation, or money laundering.</w:t>
      </w:r>
    </w:p>
    <w:p>
      <w:pPr>
        <w:spacing w:after="120" w:line="312"/>
        <w:jc w:val="both"/>
      </w:pPr>
      <w:r>
        <w:rPr>
          <w:rFonts w:ascii="Times New Roman"/>
          <w:color w:val="1A1A1A"/>
          <w:sz w:val="22"/>
          <w:szCs w:val="22"/>
        </w:rPr>
        <w:t xml:space="preserve">Market surveillance monitors all trading activity in real-time, tracking metrics such as order-to-trade ratio (high cancel rates may indicate spoofing), concentration of trades in specific time windows, unusual correlation between accounts, and rapid price movements that may indicate manipulation. Alerts are generated for suspicious patterns and reviewed by the surveillance team. The system also monitors social media and messaging platforms (within legal boundaries) for coordinated manipulation signals.</w:t>
      </w:r>
    </w:p>
    <w:p>
      <w:pPr>
        <w:pStyle w:val="Heading1"/>
        <w:spacing w:after="200" w:before="480" w:line="312"/>
      </w:pPr>
      <w:bookmarkStart w:id="100060" w:name="_Toc100060"/>
      <w:r>
        <w:rPr>
          <w:rFonts w:ascii="Times New Roman"/>
          <w:b/>
          <w:bCs/>
          <w:color w:val="0F2027"/>
          <w:sz w:val="36"/>
          <w:szCs w:val="36"/>
        </w:rPr>
        <w:t xml:space="preserve">Section 8: Compliance</w:t>
      </w:r>
      <w:bookmarkEnd w:id="100060"/>
    </w:p>
    <w:p>
      <w:pPr>
        <w:pStyle w:val="Heading2"/>
        <w:spacing w:after="160" w:before="360" w:line="312"/>
      </w:pPr>
      <w:bookmarkStart w:id="100061" w:name="_Toc100061"/>
      <w:r>
        <w:rPr>
          <w:rFonts w:ascii="Times New Roman"/>
          <w:b/>
          <w:bCs/>
          <w:color w:val="0F2027"/>
          <w:sz w:val="30"/>
          <w:szCs w:val="30"/>
        </w:rPr>
        <w:t xml:space="preserve">8.1 KYC (Know Your Customer)</w:t>
      </w:r>
      <w:bookmarkEnd w:id="100061"/>
    </w:p>
    <w:p>
      <w:pPr>
        <w:spacing w:after="120" w:line="312"/>
        <w:jc w:val="both"/>
      </w:pPr>
      <w:r>
        <w:rPr>
          <w:rFonts w:ascii="Times New Roman"/>
          <w:color w:val="1A1A1A"/>
          <w:sz w:val="22"/>
          <w:szCs w:val="22"/>
        </w:rPr>
        <w:t xml:space="preserve">The KYC system is designed to meet the requirements of all jurisdictions in which the platform operates. It is implemented as a modular, multi-provider system that can integrate with multiple identity verification vendors simultaneously, providing redundancy and the ability to route verifications to the best-performing provider for each user's jurisdiction and document type. The KYC workflow supports document verification (government ID, passport, driver's license), biometric verification (facial recognition comparing selfie to document photo), address verification (utility bill, bank statement), and enhanced due diligence (source of funds, tax ID, corporate documents for institutional accounts).</w:t>
      </w:r>
    </w:p>
    <w:p>
      <w:pPr>
        <w:spacing w:after="120" w:line="312"/>
        <w:jc w:val="both"/>
      </w:pPr>
      <w:r>
        <w:rPr>
          <w:rFonts w:ascii="Times New Roman"/>
          <w:color w:val="1A1A1A"/>
          <w:sz w:val="22"/>
          <w:szCs w:val="22"/>
        </w:rPr>
        <w:t xml:space="preserve">KYC data is encrypted at rest using AES-256 with envelope encryption (data key encrypted by a master key stored in HSM/KMS). Data retention follows GDPR and local regulations: basic user data is retained for the duration of the account plus 5 years after account closure; KYC documents are retained for 5 years after the last transaction; enhanced due diligence records are retained for 7 years. Data access is strictly controlled through role-based access control (RBAC) with audit logging of all access events. Users have the right to request data deletion under GDPR, subject to regulatory retention requirements.</w:t>
      </w:r>
    </w:p>
    <w:p>
      <w:pPr>
        <w:pStyle w:val="Heading2"/>
        <w:spacing w:after="160" w:before="360" w:line="312"/>
      </w:pPr>
      <w:bookmarkStart w:id="100062" w:name="_Toc100062"/>
      <w:r>
        <w:rPr>
          <w:rFonts w:ascii="Times New Roman"/>
          <w:b/>
          <w:bCs/>
          <w:color w:val="0F2027"/>
          <w:sz w:val="30"/>
          <w:szCs w:val="30"/>
        </w:rPr>
        <w:t xml:space="preserve">8.2 AML (Anti-Money Laundering)</w:t>
      </w:r>
      <w:bookmarkEnd w:id="100062"/>
    </w:p>
    <w:p>
      <w:pPr>
        <w:spacing w:after="120" w:line="312"/>
        <w:jc w:val="both"/>
      </w:pPr>
      <w:r>
        <w:rPr>
          <w:rFonts w:ascii="Times New Roman"/>
          <w:color w:val="1A1A1A"/>
          <w:sz w:val="22"/>
          <w:szCs w:val="22"/>
        </w:rPr>
        <w:t xml:space="preserve">The AML system implements a comprehensive transaction monitoring framework that screens all transactions against multiple risk criteria. Real-time screening checks every transaction against sanctions lists (OFAC, EU Consolidated List, UN Security Council, HM Treasury), politically exposed persons (PEP) databases, adverse media screening, and internal watchlists (previously flagged addresses or accounts). Post-transaction monitoring uses behavioral analytics to detect patterns consistent with money laundering: structuring (breaking large transactions into smaller amounts), layering (rapid movement of funds across multiple accounts and assets), and integration (conversion to fiat or withdrawal to unregulated jurisdictions).</w:t>
      </w:r>
    </w:p>
    <w:p>
      <w:pPr>
        <w:spacing w:after="120" w:line="312"/>
        <w:jc w:val="both"/>
      </w:pPr>
      <w:r>
        <w:rPr>
          <w:rFonts w:ascii="Times New Roman"/>
          <w:color w:val="1A1A1A"/>
          <w:sz w:val="22"/>
          <w:szCs w:val="22"/>
        </w:rPr>
        <w:t xml:space="preserve">Suspicious Activity Reports (SARs) are generated automatically when the system detects transactions meeting predefined risk thresholds, and are reviewed by the compliance team before filing with the relevant financial intelligence unit (FIU). The AML system also implements the Travel Rule requirement (FATF Recommendation 16) for cryptocurrency transfers: for transactions exceeding USD/EUR 1,000, the platform collects and transmits originator and beneficiary information to the counterparty exchange or wallet provider through Travel Rule protocol providers (such as TRISA, Notabene, or Sygna).</w:t>
      </w:r>
    </w:p>
    <w:p>
      <w:pPr>
        <w:pStyle w:val="Heading2"/>
        <w:spacing w:after="160" w:before="360" w:line="312"/>
      </w:pPr>
      <w:bookmarkStart w:id="100063" w:name="_Toc100063"/>
      <w:r>
        <w:rPr>
          <w:rFonts w:ascii="Times New Roman"/>
          <w:b/>
          <w:bCs/>
          <w:color w:val="0F2027"/>
          <w:sz w:val="30"/>
          <w:szCs w:val="30"/>
        </w:rPr>
        <w:t xml:space="preserve">8.3 Regulatory Framework by Region</w:t>
      </w:r>
      <w:bookmarkEnd w:id="100063"/>
    </w:p>
    <w:p>
      <w:pPr>
        <w:keepNext/>
        <w:spacing w:after="80" w:before="200" w:line="312"/>
      </w:pPr>
      <w:r>
        <w:rPr>
          <w:rFonts w:ascii="Times New Roman"/>
          <w:b/>
          <w:bCs/>
          <w:i/>
          <w:iCs/>
          <w:color w:val="4A6575"/>
          <w:sz w:val="20"/>
          <w:szCs w:val="20"/>
        </w:rPr>
        <w:t xml:space="preserve">Table 8.1: Regulatory Compliance Matrix</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Region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Key Regulations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License Required</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Compliance Status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European Union</w:t>
            </w:r>
          </w:p>
        </w:tc>
        <w:tc>
          <w:tcPr>
            <w:shd w:fill="EDF3F5" w:val="clear"/>
            <w:tcMar>
              <w:top w:type="dxa" w:w="50"/>
              <w:left w:type="dxa" w:w="100"/>
              <w:bottom w:type="dxa" w:w="50"/>
              <w:right w:type="dxa" w:w="100"/>
            </w:tcMar>
          </w:tcPr>
          <w:p>
            <w:r>
              <w:rPr>
                <w:rFonts w:ascii="Times New Roman"/>
                <w:color w:val="1A1A1A"/>
                <w:sz w:val="20"/>
                <w:szCs w:val="20"/>
              </w:rPr>
              <w:t xml:space="preserve">MiCA, AMLD6, GDPR</w:t>
            </w:r>
          </w:p>
        </w:tc>
        <w:tc>
          <w:tcPr>
            <w:shd w:fill="EDF3F5" w:val="clear"/>
            <w:tcMar>
              <w:top w:type="dxa" w:w="50"/>
              <w:left w:type="dxa" w:w="100"/>
              <w:bottom w:type="dxa" w:w="50"/>
              <w:right w:type="dxa" w:w="100"/>
            </w:tcMar>
          </w:tcPr>
          <w:p>
            <w:r>
              <w:rPr>
                <w:rFonts w:ascii="Times New Roman"/>
                <w:color w:val="1A1A1A"/>
                <w:sz w:val="20"/>
                <w:szCs w:val="20"/>
              </w:rPr>
              <w:t xml:space="preserve">CASP License (MiCA)</w:t>
            </w:r>
          </w:p>
        </w:tc>
        <w:tc>
          <w:tcPr>
            <w:shd w:fill="EDF3F5" w:val="clear"/>
            <w:tcMar>
              <w:top w:type="dxa" w:w="50"/>
              <w:left w:type="dxa" w:w="100"/>
              <w:bottom w:type="dxa" w:w="50"/>
              <w:right w:type="dxa" w:w="100"/>
            </w:tcMar>
          </w:tcPr>
          <w:p>
            <w:r>
              <w:rPr>
                <w:rFonts w:ascii="Times New Roman"/>
                <w:color w:val="1A1A1A"/>
                <w:sz w:val="20"/>
                <w:szCs w:val="20"/>
              </w:rPr>
              <w:t xml:space="preserve">Planned Phase 2</w:t>
            </w:r>
          </w:p>
        </w:tc>
      </w:tr>
      <w:tr>
        <w:trPr>
          <w:cantSplit/>
        </w:trPr>
        <w:tc>
          <w:tcPr>
            <w:tcMar>
              <w:top w:type="dxa" w:w="50"/>
              <w:left w:type="dxa" w:w="100"/>
              <w:bottom w:type="dxa" w:w="50"/>
              <w:right w:type="dxa" w:w="100"/>
            </w:tcMar>
          </w:tcPr>
          <w:p>
            <w:r>
              <w:rPr>
                <w:rFonts w:ascii="Times New Roman"/>
                <w:color w:val="1A1A1A"/>
                <w:sz w:val="20"/>
                <w:szCs w:val="20"/>
              </w:rPr>
              <w:t xml:space="preserve">United States</w:t>
            </w:r>
          </w:p>
        </w:tc>
        <w:tc>
          <w:tcPr>
            <w:tcMar>
              <w:top w:type="dxa" w:w="50"/>
              <w:left w:type="dxa" w:w="100"/>
              <w:bottom w:type="dxa" w:w="50"/>
              <w:right w:type="dxa" w:w="100"/>
            </w:tcMar>
          </w:tcPr>
          <w:p>
            <w:r>
              <w:rPr>
                <w:rFonts w:ascii="Times New Roman"/>
                <w:color w:val="1A1A1A"/>
                <w:sz w:val="20"/>
                <w:szCs w:val="20"/>
              </w:rPr>
              <w:t xml:space="preserve">BSA, SEC, CFTC, FinCEN</w:t>
            </w:r>
          </w:p>
        </w:tc>
        <w:tc>
          <w:tcPr>
            <w:tcMar>
              <w:top w:type="dxa" w:w="50"/>
              <w:left w:type="dxa" w:w="100"/>
              <w:bottom w:type="dxa" w:w="50"/>
              <w:right w:type="dxa" w:w="100"/>
            </w:tcMar>
          </w:tcPr>
          <w:p>
            <w:r>
              <w:rPr>
                <w:rFonts w:ascii="Times New Roman"/>
                <w:color w:val="1A1A1A"/>
                <w:sz w:val="20"/>
                <w:szCs w:val="20"/>
              </w:rPr>
              <w:t xml:space="preserve">Money Transmitter + Broker-Dealer</w:t>
            </w:r>
          </w:p>
        </w:tc>
        <w:tc>
          <w:tcPr>
            <w:tcMar>
              <w:top w:type="dxa" w:w="50"/>
              <w:left w:type="dxa" w:w="100"/>
              <w:bottom w:type="dxa" w:w="50"/>
              <w:right w:type="dxa" w:w="100"/>
            </w:tcMar>
          </w:tcPr>
          <w:p>
            <w:r>
              <w:rPr>
                <w:rFonts w:ascii="Times New Roman"/>
                <w:color w:val="1A1A1A"/>
                <w:sz w:val="20"/>
                <w:szCs w:val="20"/>
              </w:rPr>
              <w:t xml:space="preserve">Planned Phase 3</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United Kingdom</w:t>
            </w:r>
          </w:p>
        </w:tc>
        <w:tc>
          <w:tcPr>
            <w:shd w:fill="EDF3F5" w:val="clear"/>
            <w:tcMar>
              <w:top w:type="dxa" w:w="50"/>
              <w:left w:type="dxa" w:w="100"/>
              <w:bottom w:type="dxa" w:w="50"/>
              <w:right w:type="dxa" w:w="100"/>
            </w:tcMar>
          </w:tcPr>
          <w:p>
            <w:r>
              <w:rPr>
                <w:rFonts w:ascii="Times New Roman"/>
                <w:color w:val="1A1A1A"/>
                <w:sz w:val="20"/>
                <w:szCs w:val="20"/>
              </w:rPr>
              <w:t xml:space="preserve">FCA Regulations, MLRs</w:t>
            </w:r>
          </w:p>
        </w:tc>
        <w:tc>
          <w:tcPr>
            <w:shd w:fill="EDF3F5" w:val="clear"/>
            <w:tcMar>
              <w:top w:type="dxa" w:w="50"/>
              <w:left w:type="dxa" w:w="100"/>
              <w:bottom w:type="dxa" w:w="50"/>
              <w:right w:type="dxa" w:w="100"/>
            </w:tcMar>
          </w:tcPr>
          <w:p>
            <w:r>
              <w:rPr>
                <w:rFonts w:ascii="Times New Roman"/>
                <w:color w:val="1A1A1A"/>
                <w:sz w:val="20"/>
                <w:szCs w:val="20"/>
              </w:rPr>
              <w:t xml:space="preserve">FCA Registration</w:t>
            </w:r>
          </w:p>
        </w:tc>
        <w:tc>
          <w:tcPr>
            <w:shd w:fill="EDF3F5" w:val="clear"/>
            <w:tcMar>
              <w:top w:type="dxa" w:w="50"/>
              <w:left w:type="dxa" w:w="100"/>
              <w:bottom w:type="dxa" w:w="50"/>
              <w:right w:type="dxa" w:w="100"/>
            </w:tcMar>
          </w:tcPr>
          <w:p>
            <w:r>
              <w:rPr>
                <w:rFonts w:ascii="Times New Roman"/>
                <w:color w:val="1A1A1A"/>
                <w:sz w:val="20"/>
                <w:szCs w:val="20"/>
              </w:rPr>
              <w:t xml:space="preserve">Planned Phase 2</w:t>
            </w:r>
          </w:p>
        </w:tc>
      </w:tr>
      <w:tr>
        <w:trPr>
          <w:cantSplit/>
        </w:trPr>
        <w:tc>
          <w:tcPr>
            <w:tcMar>
              <w:top w:type="dxa" w:w="50"/>
              <w:left w:type="dxa" w:w="100"/>
              <w:bottom w:type="dxa" w:w="50"/>
              <w:right w:type="dxa" w:w="100"/>
            </w:tcMar>
          </w:tcPr>
          <w:p>
            <w:r>
              <w:rPr>
                <w:rFonts w:ascii="Times New Roman"/>
                <w:color w:val="1A1A1A"/>
                <w:sz w:val="20"/>
                <w:szCs w:val="20"/>
              </w:rPr>
              <w:t xml:space="preserve">Singapore</w:t>
            </w:r>
          </w:p>
        </w:tc>
        <w:tc>
          <w:tcPr>
            <w:tcMar>
              <w:top w:type="dxa" w:w="50"/>
              <w:left w:type="dxa" w:w="100"/>
              <w:bottom w:type="dxa" w:w="50"/>
              <w:right w:type="dxa" w:w="100"/>
            </w:tcMar>
          </w:tcPr>
          <w:p>
            <w:r>
              <w:rPr>
                <w:rFonts w:ascii="Times New Roman"/>
                <w:color w:val="1A1A1A"/>
                <w:sz w:val="20"/>
                <w:szCs w:val="20"/>
              </w:rPr>
              <w:t xml:space="preserve">PSA, MAS Guidelines</w:t>
            </w:r>
          </w:p>
        </w:tc>
        <w:tc>
          <w:tcPr>
            <w:tcMar>
              <w:top w:type="dxa" w:w="50"/>
              <w:left w:type="dxa" w:w="100"/>
              <w:bottom w:type="dxa" w:w="50"/>
              <w:right w:type="dxa" w:w="100"/>
            </w:tcMar>
          </w:tcPr>
          <w:p>
            <w:r>
              <w:rPr>
                <w:rFonts w:ascii="Times New Roman"/>
                <w:color w:val="1A1A1A"/>
                <w:sz w:val="20"/>
                <w:szCs w:val="20"/>
              </w:rPr>
              <w:t xml:space="preserve">MPI License</w:t>
            </w:r>
          </w:p>
        </w:tc>
        <w:tc>
          <w:tcPr>
            <w:tcMar>
              <w:top w:type="dxa" w:w="50"/>
              <w:left w:type="dxa" w:w="100"/>
              <w:bottom w:type="dxa" w:w="50"/>
              <w:right w:type="dxa" w:w="100"/>
            </w:tcMar>
          </w:tcPr>
          <w:p>
            <w:r>
              <w:rPr>
                <w:rFonts w:ascii="Times New Roman"/>
                <w:color w:val="1A1A1A"/>
                <w:sz w:val="20"/>
                <w:szCs w:val="20"/>
              </w:rPr>
              <w:t xml:space="preserve">Planned Phase 1</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Japan</w:t>
            </w:r>
          </w:p>
        </w:tc>
        <w:tc>
          <w:tcPr>
            <w:shd w:fill="EDF3F5" w:val="clear"/>
            <w:tcMar>
              <w:top w:type="dxa" w:w="50"/>
              <w:left w:type="dxa" w:w="100"/>
              <w:bottom w:type="dxa" w:w="50"/>
              <w:right w:type="dxa" w:w="100"/>
            </w:tcMar>
          </w:tcPr>
          <w:p>
            <w:r>
              <w:rPr>
                <w:rFonts w:ascii="Times New Roman"/>
                <w:color w:val="1A1A1A"/>
                <w:sz w:val="20"/>
                <w:szCs w:val="20"/>
              </w:rPr>
              <w:t xml:space="preserve">FIEA, PSA</w:t>
            </w:r>
          </w:p>
        </w:tc>
        <w:tc>
          <w:tcPr>
            <w:shd w:fill="EDF3F5" w:val="clear"/>
            <w:tcMar>
              <w:top w:type="dxa" w:w="50"/>
              <w:left w:type="dxa" w:w="100"/>
              <w:bottom w:type="dxa" w:w="50"/>
              <w:right w:type="dxa" w:w="100"/>
            </w:tcMar>
          </w:tcPr>
          <w:p>
            <w:r>
              <w:rPr>
                <w:rFonts w:ascii="Times New Roman"/>
                <w:color w:val="1A1A1A"/>
                <w:sz w:val="20"/>
                <w:szCs w:val="20"/>
              </w:rPr>
              <w:t xml:space="preserve">JVCEA Registration</w:t>
            </w:r>
          </w:p>
        </w:tc>
        <w:tc>
          <w:tcPr>
            <w:shd w:fill="EDF3F5" w:val="clear"/>
            <w:tcMar>
              <w:top w:type="dxa" w:w="50"/>
              <w:left w:type="dxa" w:w="100"/>
              <w:bottom w:type="dxa" w:w="50"/>
              <w:right w:type="dxa" w:w="100"/>
            </w:tcMar>
          </w:tcPr>
          <w:p>
            <w:r>
              <w:rPr>
                <w:rFonts w:ascii="Times New Roman"/>
                <w:color w:val="1A1A1A"/>
                <w:sz w:val="20"/>
                <w:szCs w:val="20"/>
              </w:rPr>
              <w:t xml:space="preserve">Planned Phase 1</w:t>
            </w:r>
          </w:p>
        </w:tc>
      </w:tr>
      <w:tr>
        <w:trPr>
          <w:cantSplit/>
        </w:trPr>
        <w:tc>
          <w:tcPr>
            <w:tcMar>
              <w:top w:type="dxa" w:w="50"/>
              <w:left w:type="dxa" w:w="100"/>
              <w:bottom w:type="dxa" w:w="50"/>
              <w:right w:type="dxa" w:w="100"/>
            </w:tcMar>
          </w:tcPr>
          <w:p>
            <w:r>
              <w:rPr>
                <w:rFonts w:ascii="Times New Roman"/>
                <w:color w:val="1A1A1A"/>
                <w:sz w:val="20"/>
                <w:szCs w:val="20"/>
              </w:rPr>
              <w:t xml:space="preserve">UAE (Dubai)</w:t>
            </w:r>
          </w:p>
        </w:tc>
        <w:tc>
          <w:tcPr>
            <w:tcMar>
              <w:top w:type="dxa" w:w="50"/>
              <w:left w:type="dxa" w:w="100"/>
              <w:bottom w:type="dxa" w:w="50"/>
              <w:right w:type="dxa" w:w="100"/>
            </w:tcMar>
          </w:tcPr>
          <w:p>
            <w:r>
              <w:rPr>
                <w:rFonts w:ascii="Times New Roman"/>
                <w:color w:val="1A1A1A"/>
                <w:sz w:val="20"/>
                <w:szCs w:val="20"/>
              </w:rPr>
              <w:t xml:space="preserve">VARA Regulations</w:t>
            </w:r>
          </w:p>
        </w:tc>
        <w:tc>
          <w:tcPr>
            <w:tcMar>
              <w:top w:type="dxa" w:w="50"/>
              <w:left w:type="dxa" w:w="100"/>
              <w:bottom w:type="dxa" w:w="50"/>
              <w:right w:type="dxa" w:w="100"/>
            </w:tcMar>
          </w:tcPr>
          <w:p>
            <w:r>
              <w:rPr>
                <w:rFonts w:ascii="Times New Roman"/>
                <w:color w:val="1A1A1A"/>
                <w:sz w:val="20"/>
                <w:szCs w:val="20"/>
              </w:rPr>
              <w:t xml:space="preserve">VARA License</w:t>
            </w:r>
          </w:p>
        </w:tc>
        <w:tc>
          <w:tcPr>
            <w:tcMar>
              <w:top w:type="dxa" w:w="50"/>
              <w:left w:type="dxa" w:w="100"/>
              <w:bottom w:type="dxa" w:w="50"/>
              <w:right w:type="dxa" w:w="100"/>
            </w:tcMar>
          </w:tcPr>
          <w:p>
            <w:r>
              <w:rPr>
                <w:rFonts w:ascii="Times New Roman"/>
                <w:color w:val="1A1A1A"/>
                <w:sz w:val="20"/>
                <w:szCs w:val="20"/>
              </w:rPr>
              <w:t xml:space="preserve">Planned Phase 4</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Hong Kong</w:t>
            </w:r>
          </w:p>
        </w:tc>
        <w:tc>
          <w:tcPr>
            <w:shd w:fill="EDF3F5" w:val="clear"/>
            <w:tcMar>
              <w:top w:type="dxa" w:w="50"/>
              <w:left w:type="dxa" w:w="100"/>
              <w:bottom w:type="dxa" w:w="50"/>
              <w:right w:type="dxa" w:w="100"/>
            </w:tcMar>
          </w:tcPr>
          <w:p>
            <w:r>
              <w:rPr>
                <w:rFonts w:ascii="Times New Roman"/>
                <w:color w:val="1A1A1A"/>
                <w:sz w:val="20"/>
                <w:szCs w:val="20"/>
              </w:rPr>
              <w:t xml:space="preserve">SFC AMLO</w:t>
            </w:r>
          </w:p>
        </w:tc>
        <w:tc>
          <w:tcPr>
            <w:shd w:fill="EDF3F5" w:val="clear"/>
            <w:tcMar>
              <w:top w:type="dxa" w:w="50"/>
              <w:left w:type="dxa" w:w="100"/>
              <w:bottom w:type="dxa" w:w="50"/>
              <w:right w:type="dxa" w:w="100"/>
            </w:tcMar>
          </w:tcPr>
          <w:p>
            <w:r>
              <w:rPr>
                <w:rFonts w:ascii="Times New Roman"/>
                <w:color w:val="1A1A1A"/>
                <w:sz w:val="20"/>
                <w:szCs w:val="20"/>
              </w:rPr>
              <w:t xml:space="preserve">VATP License</w:t>
            </w:r>
          </w:p>
        </w:tc>
        <w:tc>
          <w:tcPr>
            <w:shd w:fill="EDF3F5" w:val="clear"/>
            <w:tcMar>
              <w:top w:type="dxa" w:w="50"/>
              <w:left w:type="dxa" w:w="100"/>
              <w:bottom w:type="dxa" w:w="50"/>
              <w:right w:type="dxa" w:w="100"/>
            </w:tcMar>
          </w:tcPr>
          <w:p>
            <w:r>
              <w:rPr>
                <w:rFonts w:ascii="Times New Roman"/>
                <w:color w:val="1A1A1A"/>
                <w:sz w:val="20"/>
                <w:szCs w:val="20"/>
              </w:rPr>
              <w:t xml:space="preserve">Planned Phase 1</w:t>
            </w:r>
          </w:p>
        </w:tc>
      </w:tr>
      <w:tr>
        <w:trPr>
          <w:cantSplit/>
        </w:trPr>
        <w:tc>
          <w:tcPr>
            <w:tcMar>
              <w:top w:type="dxa" w:w="50"/>
              <w:left w:type="dxa" w:w="100"/>
              <w:bottom w:type="dxa" w:w="50"/>
              <w:right w:type="dxa" w:w="100"/>
            </w:tcMar>
          </w:tcPr>
          <w:p>
            <w:r>
              <w:rPr>
                <w:rFonts w:ascii="Times New Roman"/>
                <w:color w:val="1A1A1A"/>
                <w:sz w:val="20"/>
                <w:szCs w:val="20"/>
              </w:rPr>
              <w:t xml:space="preserve">Australia</w:t>
            </w:r>
          </w:p>
        </w:tc>
        <w:tc>
          <w:tcPr>
            <w:tcMar>
              <w:top w:type="dxa" w:w="50"/>
              <w:left w:type="dxa" w:w="100"/>
              <w:bottom w:type="dxa" w:w="50"/>
              <w:right w:type="dxa" w:w="100"/>
            </w:tcMar>
          </w:tcPr>
          <w:p>
            <w:r>
              <w:rPr>
                <w:rFonts w:ascii="Times New Roman"/>
                <w:color w:val="1A1A1A"/>
                <w:sz w:val="20"/>
                <w:szCs w:val="20"/>
              </w:rPr>
              <w:t xml:space="preserve">AUSTRAC, ASIC</w:t>
            </w:r>
          </w:p>
        </w:tc>
        <w:tc>
          <w:tcPr>
            <w:tcMar>
              <w:top w:type="dxa" w:w="50"/>
              <w:left w:type="dxa" w:w="100"/>
              <w:bottom w:type="dxa" w:w="50"/>
              <w:right w:type="dxa" w:w="100"/>
            </w:tcMar>
          </w:tcPr>
          <w:p>
            <w:r>
              <w:rPr>
                <w:rFonts w:ascii="Times New Roman"/>
                <w:color w:val="1A1A1A"/>
                <w:sz w:val="20"/>
                <w:szCs w:val="20"/>
              </w:rPr>
              <w:t xml:space="preserve">AFSL + AUSTRAC</w:t>
            </w:r>
          </w:p>
        </w:tc>
        <w:tc>
          <w:tcPr>
            <w:tcMar>
              <w:top w:type="dxa" w:w="50"/>
              <w:left w:type="dxa" w:w="100"/>
              <w:bottom w:type="dxa" w:w="50"/>
              <w:right w:type="dxa" w:w="100"/>
            </w:tcMar>
          </w:tcPr>
          <w:p>
            <w:r>
              <w:rPr>
                <w:rFonts w:ascii="Times New Roman"/>
                <w:color w:val="1A1A1A"/>
                <w:sz w:val="20"/>
                <w:szCs w:val="20"/>
              </w:rPr>
              <w:t xml:space="preserve">Planned Phase 1</w:t>
            </w:r>
          </w:p>
        </w:tc>
      </w:tr>
    </w:tbl>
    <w:p>
      <w:pPr>
        <w:spacing w:after="60" w:before="60"/>
      </w:pPr>
    </w:p>
    <w:p>
      <w:pPr>
        <w:pStyle w:val="Heading2"/>
        <w:spacing w:after="160" w:before="360" w:line="312"/>
      </w:pPr>
      <w:bookmarkStart w:id="100064" w:name="_Toc100064"/>
      <w:r>
        <w:rPr>
          <w:rFonts w:ascii="Times New Roman"/>
          <w:b/>
          <w:bCs/>
          <w:color w:val="0F2027"/>
          <w:sz w:val="30"/>
          <w:szCs w:val="30"/>
        </w:rPr>
        <w:t xml:space="preserve">8.4 GDPR and Data Protection</w:t>
      </w:r>
      <w:bookmarkEnd w:id="100064"/>
    </w:p>
    <w:p>
      <w:pPr>
        <w:spacing w:after="120" w:line="312"/>
        <w:jc w:val="both"/>
      </w:pPr>
      <w:r>
        <w:rPr>
          <w:rFonts w:ascii="Times New Roman"/>
          <w:color w:val="1A1A1A"/>
          <w:sz w:val="22"/>
          <w:szCs w:val="22"/>
        </w:rPr>
        <w:t xml:space="preserve">The platform implements a comprehensive data protection framework compliant with GDPR and equivalent local regulations. Key principles include: data minimization (collect only what is necessary), purpose limitation (use data only for stated purposes), storage limitation (retain only as long as necessary), accuracy (maintain up-to-date records), integrity and confidentiality (encrypt, pseudonymize, and control access), and accountability (demonstrate compliance through documentation and audits). Users have rights to access, rectify, port, and delete their personal data, implemented through self-service controls in the account settings and through requests to the Data Protection Officer (DPO).</w:t>
      </w:r>
    </w:p>
    <w:p>
      <w:pPr>
        <w:spacing w:after="120" w:line="312"/>
        <w:jc w:val="both"/>
      </w:pPr>
      <w:r>
        <w:rPr>
          <w:rFonts w:ascii="Times New Roman"/>
          <w:color w:val="1A1A1A"/>
          <w:sz w:val="22"/>
          <w:szCs w:val="22"/>
        </w:rPr>
        <w:t xml:space="preserve">Data processing agreements (DPAs) are established with all third-party service providers that process personal data on behalf of the platform. Data Impact Assessments (DPIAs) are conducted for any new feature or processing activity that involves personal data. Cross-border data transfers follow appropriate safeguards: Standard Contractual Clauses (SCCs) for transfers outside the EEA, adequacy decisions where available, and binding corporate rules for intra-group transfers.</w:t>
      </w:r>
    </w:p>
    <w:p>
      <w:pPr>
        <w:pStyle w:val="Heading1"/>
        <w:spacing w:after="200" w:before="480" w:line="312"/>
      </w:pPr>
      <w:bookmarkStart w:id="100065" w:name="_Toc100065"/>
      <w:r>
        <w:rPr>
          <w:rFonts w:ascii="Times New Roman"/>
          <w:b/>
          <w:bCs/>
          <w:color w:val="0F2027"/>
          <w:sz w:val="36"/>
          <w:szCs w:val="36"/>
        </w:rPr>
        <w:t xml:space="preserve">Section 9: Security Architecture</w:t>
      </w:r>
      <w:bookmarkEnd w:id="100065"/>
    </w:p>
    <w:p>
      <w:pPr>
        <w:pStyle w:val="Heading2"/>
        <w:spacing w:after="160" w:before="360" w:line="312"/>
      </w:pPr>
      <w:bookmarkStart w:id="100066" w:name="_Toc100066"/>
      <w:r>
        <w:rPr>
          <w:rFonts w:ascii="Times New Roman"/>
          <w:b/>
          <w:bCs/>
          <w:color w:val="0F2027"/>
          <w:sz w:val="30"/>
          <w:szCs w:val="30"/>
        </w:rPr>
        <w:t xml:space="preserve">9.1 Zero Trust Architecture</w:t>
      </w:r>
      <w:bookmarkEnd w:id="100066"/>
    </w:p>
    <w:p>
      <w:pPr>
        <w:spacing w:after="120" w:line="312"/>
        <w:jc w:val="both"/>
      </w:pPr>
      <w:r>
        <w:rPr>
          <w:rFonts w:ascii="Times New Roman"/>
          <w:color w:val="1A1A1A"/>
          <w:sz w:val="22"/>
          <w:szCs w:val="22"/>
        </w:rPr>
        <w:t xml:space="preserve">The platform implements a Zero Trust security model where no user, device, or network segment is inherently trusted. Every access request is verified based on identity, device posture, location, and behavioral context. The Zero Trust architecture is implemented through a combination of identity-aware proxies, micro-segmentation, mutual TLS (mTLS) for service-to-service communication, and continuous verification of trust signals. Network segmentation isolates the trading infrastructure from administrative systems, and from public-facing services. Even within the internal network, all traffic is encrypted and authenticated.</w:t>
      </w:r>
    </w:p>
    <w:p>
      <w:pPr>
        <w:spacing w:after="120" w:line="312"/>
        <w:jc w:val="both"/>
      </w:pPr>
      <w:r>
        <w:rPr>
          <w:rFonts w:ascii="Times New Roman"/>
          <w:color w:val="1A1A1A"/>
          <w:sz w:val="22"/>
          <w:szCs w:val="22"/>
        </w:rPr>
        <w:t xml:space="preserve">Zero Trust policies are enforced through a Policy Decision Point (PDP) and Policy Enforcement Point (PEP) architecture. Every request (API call, database query, internal service call) passes through a PEP that queries the PDP for an authorization decision. The PDP evaluates policies based on the requester's identity, the resource being accessed, the action being performed, and contextual signals (time of day, geographic location, device trust level, recent behavior patterns). Policies are defined as code (Policy-as-Code) and version-controlled alongside the application code.</w:t>
      </w:r>
    </w:p>
    <w:p>
      <w:pPr>
        <w:pStyle w:val="Heading2"/>
        <w:spacing w:after="160" w:before="360" w:line="312"/>
      </w:pPr>
      <w:bookmarkStart w:id="100067" w:name="_Toc100067"/>
      <w:r>
        <w:rPr>
          <w:rFonts w:ascii="Times New Roman"/>
          <w:b/>
          <w:bCs/>
          <w:color w:val="0F2027"/>
          <w:sz w:val="30"/>
          <w:szCs w:val="30"/>
        </w:rPr>
        <w:t xml:space="preserve">9.2 Access Control: RBAC and ABAC</w:t>
      </w:r>
      <w:bookmarkEnd w:id="100067"/>
    </w:p>
    <w:p>
      <w:pPr>
        <w:spacing w:after="120" w:line="312"/>
        <w:jc w:val="both"/>
      </w:pPr>
      <w:r>
        <w:rPr>
          <w:rFonts w:ascii="Times New Roman"/>
          <w:color w:val="1A1A1A"/>
          <w:sz w:val="22"/>
          <w:szCs w:val="22"/>
        </w:rPr>
        <w:t xml:space="preserve">Role-Based Access Control (RBAC) defines roles such as Super Admin, Operations Manager, Trader Support, Compliance Officer, Developer, and Auditor, each with a predefined set of permissions. Attribute-Based Access Control (ABAC) extends RBAC by allowing fine-grained policies based on attributes such as department, clearance level, geographic location, time of day, and data sensitivity classification. The combined RBAC/ABAC model ensures that access is granted based on both the user's role and the contextual attributes of the request. All access control decisions are logged and auditable.</w:t>
      </w:r>
    </w:p>
    <w:p>
      <w:pPr>
        <w:keepNext/>
        <w:spacing w:after="80" w:before="200" w:line="312"/>
      </w:pPr>
      <w:r>
        <w:rPr>
          <w:rFonts w:ascii="Times New Roman"/>
          <w:b/>
          <w:bCs/>
          <w:i/>
          <w:iCs/>
          <w:color w:val="4A6575"/>
          <w:sz w:val="20"/>
          <w:szCs w:val="20"/>
        </w:rPr>
        <w:t xml:space="preserve">Table 9.1: Security Architecture Components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Component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Technology</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Purpose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Deployment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Identity Provider</w:t>
            </w:r>
          </w:p>
        </w:tc>
        <w:tc>
          <w:tcPr>
            <w:shd w:fill="EDF3F5" w:val="clear"/>
            <w:tcMar>
              <w:top w:type="dxa" w:w="50"/>
              <w:left w:type="dxa" w:w="100"/>
              <w:bottom w:type="dxa" w:w="50"/>
              <w:right w:type="dxa" w:w="100"/>
            </w:tcMar>
          </w:tcPr>
          <w:p>
            <w:r>
              <w:rPr>
                <w:rFonts w:ascii="Times New Roman"/>
                <w:color w:val="1A1A1A"/>
                <w:sz w:val="20"/>
                <w:szCs w:val="20"/>
              </w:rPr>
              <w:t xml:space="preserve">Keycloak / Okta</w:t>
            </w:r>
          </w:p>
        </w:tc>
        <w:tc>
          <w:tcPr>
            <w:shd w:fill="EDF3F5" w:val="clear"/>
            <w:tcMar>
              <w:top w:type="dxa" w:w="50"/>
              <w:left w:type="dxa" w:w="100"/>
              <w:bottom w:type="dxa" w:w="50"/>
              <w:right w:type="dxa" w:w="100"/>
            </w:tcMar>
          </w:tcPr>
          <w:p>
            <w:r>
              <w:rPr>
                <w:rFonts w:ascii="Times New Roman"/>
                <w:color w:val="1A1A1A"/>
                <w:sz w:val="20"/>
                <w:szCs w:val="20"/>
              </w:rPr>
              <w:t xml:space="preserve">SSO, MFA, user management</w:t>
            </w:r>
          </w:p>
        </w:tc>
        <w:tc>
          <w:tcPr>
            <w:shd w:fill="EDF3F5" w:val="clear"/>
            <w:tcMar>
              <w:top w:type="dxa" w:w="50"/>
              <w:left w:type="dxa" w:w="100"/>
              <w:bottom w:type="dxa" w:w="50"/>
              <w:right w:type="dxa" w:w="100"/>
            </w:tcMar>
          </w:tcPr>
          <w:p>
            <w:r>
              <w:rPr>
                <w:rFonts w:ascii="Times New Roman"/>
                <w:color w:val="1A1A1A"/>
                <w:sz w:val="20"/>
                <w:szCs w:val="20"/>
              </w:rPr>
              <w:t xml:space="preserve">HA Cluster (3 nodes)</w:t>
            </w:r>
          </w:p>
        </w:tc>
      </w:tr>
      <w:tr>
        <w:trPr>
          <w:cantSplit/>
        </w:trPr>
        <w:tc>
          <w:tcPr>
            <w:tcMar>
              <w:top w:type="dxa" w:w="50"/>
              <w:left w:type="dxa" w:w="100"/>
              <w:bottom w:type="dxa" w:w="50"/>
              <w:right w:type="dxa" w:w="100"/>
            </w:tcMar>
          </w:tcPr>
          <w:p>
            <w:r>
              <w:rPr>
                <w:rFonts w:ascii="Times New Roman"/>
                <w:color w:val="1A1A1A"/>
                <w:sz w:val="20"/>
                <w:szCs w:val="20"/>
              </w:rPr>
              <w:t xml:space="preserve">Secrets Management</w:t>
            </w:r>
          </w:p>
        </w:tc>
        <w:tc>
          <w:tcPr>
            <w:tcMar>
              <w:top w:type="dxa" w:w="50"/>
              <w:left w:type="dxa" w:w="100"/>
              <w:bottom w:type="dxa" w:w="50"/>
              <w:right w:type="dxa" w:w="100"/>
            </w:tcMar>
          </w:tcPr>
          <w:p>
            <w:r>
              <w:rPr>
                <w:rFonts w:ascii="Times New Roman"/>
                <w:color w:val="1A1A1A"/>
                <w:sz w:val="20"/>
                <w:szCs w:val="20"/>
              </w:rPr>
              <w:t xml:space="preserve">HashiCorp Vault</w:t>
            </w:r>
          </w:p>
        </w:tc>
        <w:tc>
          <w:tcPr>
            <w:tcMar>
              <w:top w:type="dxa" w:w="50"/>
              <w:left w:type="dxa" w:w="100"/>
              <w:bottom w:type="dxa" w:w="50"/>
              <w:right w:type="dxa" w:w="100"/>
            </w:tcMar>
          </w:tcPr>
          <w:p>
            <w:r>
              <w:rPr>
                <w:rFonts w:ascii="Times New Roman"/>
                <w:color w:val="1A1A1A"/>
                <w:sz w:val="20"/>
                <w:szCs w:val="20"/>
              </w:rPr>
              <w:t xml:space="preserve">API keys, DB creds, certs</w:t>
            </w:r>
          </w:p>
        </w:tc>
        <w:tc>
          <w:tcPr>
            <w:tcMar>
              <w:top w:type="dxa" w:w="50"/>
              <w:left w:type="dxa" w:w="100"/>
              <w:bottom w:type="dxa" w:w="50"/>
              <w:right w:type="dxa" w:w="100"/>
            </w:tcMar>
          </w:tcPr>
          <w:p>
            <w:r>
              <w:rPr>
                <w:rFonts w:ascii="Times New Roman"/>
                <w:color w:val="1A1A1A"/>
                <w:sz w:val="20"/>
                <w:szCs w:val="20"/>
              </w:rPr>
              <w:t xml:space="preserve">HA with auto-seal</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WAF</w:t>
            </w:r>
          </w:p>
        </w:tc>
        <w:tc>
          <w:tcPr>
            <w:shd w:fill="EDF3F5" w:val="clear"/>
            <w:tcMar>
              <w:top w:type="dxa" w:w="50"/>
              <w:left w:type="dxa" w:w="100"/>
              <w:bottom w:type="dxa" w:w="50"/>
              <w:right w:type="dxa" w:w="100"/>
            </w:tcMar>
          </w:tcPr>
          <w:p>
            <w:r>
              <w:rPr>
                <w:rFonts w:ascii="Times New Roman"/>
                <w:color w:val="1A1A1A"/>
                <w:sz w:val="20"/>
                <w:szCs w:val="20"/>
              </w:rPr>
              <w:t xml:space="preserve">Cloudflare / AWS WAF</w:t>
            </w:r>
          </w:p>
        </w:tc>
        <w:tc>
          <w:tcPr>
            <w:shd w:fill="EDF3F5" w:val="clear"/>
            <w:tcMar>
              <w:top w:type="dxa" w:w="50"/>
              <w:left w:type="dxa" w:w="100"/>
              <w:bottom w:type="dxa" w:w="50"/>
              <w:right w:type="dxa" w:w="100"/>
            </w:tcMar>
          </w:tcPr>
          <w:p>
            <w:r>
              <w:rPr>
                <w:rFonts w:ascii="Times New Roman"/>
                <w:color w:val="1A1A1A"/>
                <w:sz w:val="20"/>
                <w:szCs w:val="20"/>
              </w:rPr>
              <w:t xml:space="preserve">L7 protection, bot mitigation</w:t>
            </w:r>
          </w:p>
        </w:tc>
        <w:tc>
          <w:tcPr>
            <w:shd w:fill="EDF3F5" w:val="clear"/>
            <w:tcMar>
              <w:top w:type="dxa" w:w="50"/>
              <w:left w:type="dxa" w:w="100"/>
              <w:bottom w:type="dxa" w:w="50"/>
              <w:right w:type="dxa" w:w="100"/>
            </w:tcMar>
          </w:tcPr>
          <w:p>
            <w:r>
              <w:rPr>
                <w:rFonts w:ascii="Times New Roman"/>
                <w:color w:val="1A1A1A"/>
                <w:sz w:val="20"/>
                <w:szCs w:val="20"/>
              </w:rPr>
              <w:t xml:space="preserve">Global edge network</w:t>
            </w:r>
          </w:p>
        </w:tc>
      </w:tr>
      <w:tr>
        <w:trPr>
          <w:cantSplit/>
        </w:trPr>
        <w:tc>
          <w:tcPr>
            <w:tcMar>
              <w:top w:type="dxa" w:w="50"/>
              <w:left w:type="dxa" w:w="100"/>
              <w:bottom w:type="dxa" w:w="50"/>
              <w:right w:type="dxa" w:w="100"/>
            </w:tcMar>
          </w:tcPr>
          <w:p>
            <w:r>
              <w:rPr>
                <w:rFonts w:ascii="Times New Roman"/>
                <w:color w:val="1A1A1A"/>
                <w:sz w:val="20"/>
                <w:szCs w:val="20"/>
              </w:rPr>
              <w:t xml:space="preserve">DDoS Protection</w:t>
            </w:r>
          </w:p>
        </w:tc>
        <w:tc>
          <w:tcPr>
            <w:tcMar>
              <w:top w:type="dxa" w:w="50"/>
              <w:left w:type="dxa" w:w="100"/>
              <w:bottom w:type="dxa" w:w="50"/>
              <w:right w:type="dxa" w:w="100"/>
            </w:tcMar>
          </w:tcPr>
          <w:p>
            <w:r>
              <w:rPr>
                <w:rFonts w:ascii="Times New Roman"/>
                <w:color w:val="1A1A1A"/>
                <w:sz w:val="20"/>
                <w:szCs w:val="20"/>
              </w:rPr>
              <w:t xml:space="preserve">Cloudflare / AWS Shield</w:t>
            </w:r>
          </w:p>
        </w:tc>
        <w:tc>
          <w:tcPr>
            <w:tcMar>
              <w:top w:type="dxa" w:w="50"/>
              <w:left w:type="dxa" w:w="100"/>
              <w:bottom w:type="dxa" w:w="50"/>
              <w:right w:type="dxa" w:w="100"/>
            </w:tcMar>
          </w:tcPr>
          <w:p>
            <w:r>
              <w:rPr>
                <w:rFonts w:ascii="Times New Roman"/>
                <w:color w:val="1A1A1A"/>
                <w:sz w:val="20"/>
                <w:szCs w:val="20"/>
              </w:rPr>
              <w:t xml:space="preserve">L3/L4 volumetric protection</w:t>
            </w:r>
          </w:p>
        </w:tc>
        <w:tc>
          <w:tcPr>
            <w:tcMar>
              <w:top w:type="dxa" w:w="50"/>
              <w:left w:type="dxa" w:w="100"/>
              <w:bottom w:type="dxa" w:w="50"/>
              <w:right w:type="dxa" w:w="100"/>
            </w:tcMar>
          </w:tcPr>
          <w:p>
            <w:r>
              <w:rPr>
                <w:rFonts w:ascii="Times New Roman"/>
                <w:color w:val="1A1A1A"/>
                <w:sz w:val="20"/>
                <w:szCs w:val="20"/>
              </w:rPr>
              <w:t xml:space="preserve">Global anycast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SIEM</w:t>
            </w:r>
          </w:p>
        </w:tc>
        <w:tc>
          <w:tcPr>
            <w:shd w:fill="EDF3F5" w:val="clear"/>
            <w:tcMar>
              <w:top w:type="dxa" w:w="50"/>
              <w:left w:type="dxa" w:w="100"/>
              <w:bottom w:type="dxa" w:w="50"/>
              <w:right w:type="dxa" w:w="100"/>
            </w:tcMar>
          </w:tcPr>
          <w:p>
            <w:r>
              <w:rPr>
                <w:rFonts w:ascii="Times New Roman"/>
                <w:color w:val="1A1A1A"/>
                <w:sz w:val="20"/>
                <w:szCs w:val="20"/>
              </w:rPr>
              <w:t xml:space="preserve">Splunk / Elastic SIEM</w:t>
            </w:r>
          </w:p>
        </w:tc>
        <w:tc>
          <w:tcPr>
            <w:shd w:fill="EDF3F5" w:val="clear"/>
            <w:tcMar>
              <w:top w:type="dxa" w:w="50"/>
              <w:left w:type="dxa" w:w="100"/>
              <w:bottom w:type="dxa" w:w="50"/>
              <w:right w:type="dxa" w:w="100"/>
            </w:tcMar>
          </w:tcPr>
          <w:p>
            <w:r>
              <w:rPr>
                <w:rFonts w:ascii="Times New Roman"/>
                <w:color w:val="1A1A1A"/>
                <w:sz w:val="20"/>
                <w:szCs w:val="20"/>
              </w:rPr>
              <w:t xml:space="preserve">Log aggregation, threat detection</w:t>
            </w:r>
          </w:p>
        </w:tc>
        <w:tc>
          <w:tcPr>
            <w:shd w:fill="EDF3F5" w:val="clear"/>
            <w:tcMar>
              <w:top w:type="dxa" w:w="50"/>
              <w:left w:type="dxa" w:w="100"/>
              <w:bottom w:type="dxa" w:w="50"/>
              <w:right w:type="dxa" w:w="100"/>
            </w:tcMar>
          </w:tcPr>
          <w:p>
            <w:r>
              <w:rPr>
                <w:rFonts w:ascii="Times New Roman"/>
                <w:color w:val="1A1A1A"/>
                <w:sz w:val="20"/>
                <w:szCs w:val="20"/>
              </w:rPr>
              <w:t xml:space="preserve">Multi-region cluster</w:t>
            </w:r>
          </w:p>
        </w:tc>
      </w:tr>
      <w:tr>
        <w:trPr>
          <w:cantSplit/>
        </w:trPr>
        <w:tc>
          <w:tcPr>
            <w:tcMar>
              <w:top w:type="dxa" w:w="50"/>
              <w:left w:type="dxa" w:w="100"/>
              <w:bottom w:type="dxa" w:w="50"/>
              <w:right w:type="dxa" w:w="100"/>
            </w:tcMar>
          </w:tcPr>
          <w:p>
            <w:r>
              <w:rPr>
                <w:rFonts w:ascii="Times New Roman"/>
                <w:color w:val="1A1A1A"/>
                <w:sz w:val="20"/>
                <w:szCs w:val="20"/>
              </w:rPr>
              <w:t xml:space="preserve">SOC</w:t>
            </w:r>
          </w:p>
        </w:tc>
        <w:tc>
          <w:tcPr>
            <w:tcMar>
              <w:top w:type="dxa" w:w="50"/>
              <w:left w:type="dxa" w:w="100"/>
              <w:bottom w:type="dxa" w:w="50"/>
              <w:right w:type="dxa" w:w="100"/>
            </w:tcMar>
          </w:tcPr>
          <w:p>
            <w:r>
              <w:rPr>
                <w:rFonts w:ascii="Times New Roman"/>
                <w:color w:val="1A1A1A"/>
                <w:sz w:val="20"/>
                <w:szCs w:val="20"/>
              </w:rPr>
              <w:t xml:space="preserve">24/7 Security Operations</w:t>
            </w:r>
          </w:p>
        </w:tc>
        <w:tc>
          <w:tcPr>
            <w:tcMar>
              <w:top w:type="dxa" w:w="50"/>
              <w:left w:type="dxa" w:w="100"/>
              <w:bottom w:type="dxa" w:w="50"/>
              <w:right w:type="dxa" w:w="100"/>
            </w:tcMar>
          </w:tcPr>
          <w:p>
            <w:r>
              <w:rPr>
                <w:rFonts w:ascii="Times New Roman"/>
                <w:color w:val="1A1A1A"/>
                <w:sz w:val="20"/>
                <w:szCs w:val="20"/>
              </w:rPr>
              <w:t xml:space="preserve">Incident response, monitoring</w:t>
            </w:r>
          </w:p>
        </w:tc>
        <w:tc>
          <w:tcPr>
            <w:tcMar>
              <w:top w:type="dxa" w:w="50"/>
              <w:left w:type="dxa" w:w="100"/>
              <w:bottom w:type="dxa" w:w="50"/>
              <w:right w:type="dxa" w:w="100"/>
            </w:tcMar>
          </w:tcPr>
          <w:p>
            <w:r>
              <w:rPr>
                <w:rFonts w:ascii="Times New Roman"/>
                <w:color w:val="1A1A1A"/>
                <w:sz w:val="20"/>
                <w:szCs w:val="20"/>
              </w:rPr>
              <w:t xml:space="preserve">Distributed team</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HSM</w:t>
            </w:r>
          </w:p>
        </w:tc>
        <w:tc>
          <w:tcPr>
            <w:shd w:fill="EDF3F5" w:val="clear"/>
            <w:tcMar>
              <w:top w:type="dxa" w:w="50"/>
              <w:left w:type="dxa" w:w="100"/>
              <w:bottom w:type="dxa" w:w="50"/>
              <w:right w:type="dxa" w:w="100"/>
            </w:tcMar>
          </w:tcPr>
          <w:p>
            <w:r>
              <w:rPr>
                <w:rFonts w:ascii="Times New Roman"/>
                <w:color w:val="1A1A1A"/>
                <w:sz w:val="20"/>
                <w:szCs w:val="20"/>
              </w:rPr>
              <w:t xml:space="preserve">Thales Luna / AWS CloudHSM</w:t>
            </w:r>
          </w:p>
        </w:tc>
        <w:tc>
          <w:tcPr>
            <w:shd w:fill="EDF3F5" w:val="clear"/>
            <w:tcMar>
              <w:top w:type="dxa" w:w="50"/>
              <w:left w:type="dxa" w:w="100"/>
              <w:bottom w:type="dxa" w:w="50"/>
              <w:right w:type="dxa" w:w="100"/>
            </w:tcMar>
          </w:tcPr>
          <w:p>
            <w:r>
              <w:rPr>
                <w:rFonts w:ascii="Times New Roman"/>
                <w:color w:val="1A1A1A"/>
                <w:sz w:val="20"/>
                <w:szCs w:val="20"/>
              </w:rPr>
              <w:t xml:space="preserve">Key storage, signing</w:t>
            </w:r>
          </w:p>
        </w:tc>
        <w:tc>
          <w:tcPr>
            <w:shd w:fill="EDF3F5" w:val="clear"/>
            <w:tcMar>
              <w:top w:type="dxa" w:w="50"/>
              <w:left w:type="dxa" w:w="100"/>
              <w:bottom w:type="dxa" w:w="50"/>
              <w:right w:type="dxa" w:w="100"/>
            </w:tcMar>
          </w:tcPr>
          <w:p>
            <w:r>
              <w:rPr>
                <w:rFonts w:ascii="Times New Roman"/>
                <w:color w:val="1A1A1A"/>
                <w:sz w:val="20"/>
                <w:szCs w:val="20"/>
              </w:rPr>
              <w:t xml:space="preserve">3-node quorum cluster</w:t>
            </w:r>
          </w:p>
        </w:tc>
      </w:tr>
      <w:tr>
        <w:trPr>
          <w:cantSplit/>
        </w:trPr>
        <w:tc>
          <w:tcPr>
            <w:tcMar>
              <w:top w:type="dxa" w:w="50"/>
              <w:left w:type="dxa" w:w="100"/>
              <w:bottom w:type="dxa" w:w="50"/>
              <w:right w:type="dxa" w:w="100"/>
            </w:tcMar>
          </w:tcPr>
          <w:p>
            <w:r>
              <w:rPr>
                <w:rFonts w:ascii="Times New Roman"/>
                <w:color w:val="1A1A1A"/>
                <w:sz w:val="20"/>
                <w:szCs w:val="20"/>
              </w:rPr>
              <w:t xml:space="preserve">Vulnerability Scanner</w:t>
            </w:r>
          </w:p>
        </w:tc>
        <w:tc>
          <w:tcPr>
            <w:tcMar>
              <w:top w:type="dxa" w:w="50"/>
              <w:left w:type="dxa" w:w="100"/>
              <w:bottom w:type="dxa" w:w="50"/>
              <w:right w:type="dxa" w:w="100"/>
            </w:tcMar>
          </w:tcPr>
          <w:p>
            <w:r>
              <w:rPr>
                <w:rFonts w:ascii="Times New Roman"/>
                <w:color w:val="1A1A1A"/>
                <w:sz w:val="20"/>
                <w:szCs w:val="20"/>
              </w:rPr>
              <w:t xml:space="preserve">Snyk / Qualys</w:t>
            </w:r>
          </w:p>
        </w:tc>
        <w:tc>
          <w:tcPr>
            <w:tcMar>
              <w:top w:type="dxa" w:w="50"/>
              <w:left w:type="dxa" w:w="100"/>
              <w:bottom w:type="dxa" w:w="50"/>
              <w:right w:type="dxa" w:w="100"/>
            </w:tcMar>
          </w:tcPr>
          <w:p>
            <w:r>
              <w:rPr>
                <w:rFonts w:ascii="Times New Roman"/>
                <w:color w:val="1A1A1A"/>
                <w:sz w:val="20"/>
                <w:szCs w:val="20"/>
              </w:rPr>
              <w:t xml:space="preserve">Code, container, infra scanning</w:t>
            </w:r>
          </w:p>
        </w:tc>
        <w:tc>
          <w:tcPr>
            <w:tcMar>
              <w:top w:type="dxa" w:w="50"/>
              <w:left w:type="dxa" w:w="100"/>
              <w:bottom w:type="dxa" w:w="50"/>
              <w:right w:type="dxa" w:w="100"/>
            </w:tcMar>
          </w:tcPr>
          <w:p>
            <w:r>
              <w:rPr>
                <w:rFonts w:ascii="Times New Roman"/>
                <w:color w:val="1A1A1A"/>
                <w:sz w:val="20"/>
                <w:szCs w:val="20"/>
              </w:rPr>
              <w:t xml:space="preserve">CI/CD integrated</w:t>
            </w:r>
          </w:p>
        </w:tc>
      </w:tr>
    </w:tbl>
    <w:p>
      <w:pPr>
        <w:spacing w:after="60" w:before="60"/>
      </w:pPr>
    </w:p>
    <w:p>
      <w:pPr>
        <w:pStyle w:val="Heading2"/>
        <w:spacing w:after="160" w:before="360" w:line="312"/>
      </w:pPr>
      <w:bookmarkStart w:id="100068" w:name="_Toc100068"/>
      <w:r>
        <w:rPr>
          <w:rFonts w:ascii="Times New Roman"/>
          <w:b/>
          <w:bCs/>
          <w:color w:val="0F2027"/>
          <w:sz w:val="30"/>
          <w:szCs w:val="30"/>
        </w:rPr>
        <w:t xml:space="preserve">9.3 Threat Model</w:t>
      </w:r>
      <w:bookmarkEnd w:id="100068"/>
    </w:p>
    <w:p>
      <w:pPr>
        <w:spacing w:after="120" w:line="312"/>
        <w:jc w:val="both"/>
      </w:pPr>
      <w:r>
        <w:rPr>
          <w:rFonts w:ascii="Times New Roman"/>
          <w:color w:val="1A1A1A"/>
          <w:sz w:val="22"/>
          <w:szCs w:val="22"/>
        </w:rPr>
        <w:t xml:space="preserve">The platform's threat model covers the following primary attack vectors and their mitigations. (1) DDoS Attacks: Mitigated by multi-layer protection (L3/L4 volumetric via cloud provider, L7 via WAF), rate limiting, and elastic auto-scaling of edge services. (2) API Key Compromise: Mitigated by IP whitelist restrictions, mandatory 2FA for API key creation, rate limiting per API key, and behavioral anomaly detection on API usage patterns. (3) Insider Threats: Mitigated by RBAC/ABAC, privileged access management (PAM), session recording for administrative actions, and separation of duties for critical operations (e.g., no single operator can authorize large withdrawals).</w:t>
      </w:r>
    </w:p>
    <w:p>
      <w:pPr>
        <w:spacing w:after="120" w:line="312"/>
        <w:jc w:val="both"/>
      </w:pPr>
      <w:r>
        <w:rPr>
          <w:rFonts w:ascii="Times New Roman"/>
          <w:color w:val="1A1A1A"/>
          <w:sz w:val="22"/>
          <w:szCs w:val="22"/>
        </w:rPr>
        <w:t xml:space="preserve">(4) SQL Injection / XSS / CSRF: Mitigated by parameterized queries, input validation, output encoding, Content Security Policy (CSP) headers, anti-CSRF tokens, and regular penetration testing. (5) Supply Chain Attacks: Mitigated by Software Bill of Materials (SBOM), dependency scanning, signed builds, and verified supply chain for container images. (6) Blockchain-Specific Attacks: Mitigated by transaction monitoring, large withdrawal delays, address whitelist enforcement, and monitoring for reorg attacks on supported chains. (7) Social Engineering: Mitigated by mandatory MFA, security awareness training, callback verification for high-risk requests, and anti-phishing measures.</w:t>
      </w:r>
    </w:p>
    <w:p>
      <w:pPr>
        <w:pStyle w:val="Heading2"/>
        <w:spacing w:after="160" w:before="360" w:line="312"/>
      </w:pPr>
      <w:bookmarkStart w:id="100069" w:name="_Toc100069"/>
      <w:r>
        <w:rPr>
          <w:rFonts w:ascii="Times New Roman"/>
          <w:b/>
          <w:bCs/>
          <w:color w:val="0F2027"/>
          <w:sz w:val="30"/>
          <w:szCs w:val="30"/>
        </w:rPr>
        <w:t xml:space="preserve">9.4 Encryption and Key Management</w:t>
      </w:r>
      <w:bookmarkEnd w:id="100069"/>
    </w:p>
    <w:p>
      <w:pPr>
        <w:spacing w:after="120" w:line="312"/>
        <w:jc w:val="both"/>
      </w:pPr>
      <w:r>
        <w:rPr>
          <w:rFonts w:ascii="Times New Roman"/>
          <w:color w:val="1A1A1A"/>
          <w:sz w:val="22"/>
          <w:szCs w:val="22"/>
        </w:rPr>
        <w:t xml:space="preserve">All data is encrypted both in transit (TLS 1.3 for all external communication, mTLS for internal service-to-service communication) and at rest (AES-256 for databases, file storage, and backups). Database-level encryption uses Transparent Data Encryption (TDE) for all databases, with additional column-level encryption for sensitive fields (KYC documents, private notes, security configurations). Encryption keys are managed through HashiCorp Vault with automatic rotation policies: data encryption keys are rotated every 90 days, TLS certificates are rotated every 30 days, and API signing keys are rotated annually with the ability to force-rotate on compromise.</w:t>
      </w:r>
    </w:p>
    <w:p>
      <w:pPr>
        <w:pStyle w:val="Heading1"/>
        <w:spacing w:after="200" w:before="480" w:line="312"/>
      </w:pPr>
      <w:bookmarkStart w:id="100070" w:name="_Toc100070"/>
      <w:r>
        <w:rPr>
          <w:rFonts w:ascii="Times New Roman"/>
          <w:b/>
          <w:bCs/>
          <w:color w:val="0F2027"/>
          <w:sz w:val="36"/>
          <w:szCs w:val="36"/>
        </w:rPr>
        <w:t xml:space="preserve">Section 10: Database Design</w:t>
      </w:r>
      <w:bookmarkEnd w:id="100070"/>
    </w:p>
    <w:p>
      <w:pPr>
        <w:pStyle w:val="Heading2"/>
        <w:spacing w:after="160" w:before="360" w:line="312"/>
      </w:pPr>
      <w:bookmarkStart w:id="100071" w:name="_Toc100071"/>
      <w:r>
        <w:rPr>
          <w:rFonts w:ascii="Times New Roman"/>
          <w:b/>
          <w:bCs/>
          <w:color w:val="0F2027"/>
          <w:sz w:val="30"/>
          <w:szCs w:val="30"/>
        </w:rPr>
        <w:t xml:space="preserve">10.1 Database Technology Stack</w:t>
      </w:r>
      <w:bookmarkEnd w:id="100071"/>
    </w:p>
    <w:p>
      <w:pPr>
        <w:spacing w:after="120" w:line="312"/>
        <w:jc w:val="both"/>
      </w:pPr>
      <w:r>
        <w:rPr>
          <w:rFonts w:ascii="Times New Roman"/>
          <w:color w:val="1A1A1A"/>
          <w:sz w:val="22"/>
          <w:szCs w:val="22"/>
        </w:rPr>
        <w:t xml:space="preserve">The platform uses a polyglot persistence strategy, selecting the optimal database technology for each workload type. Relational data (user profiles, accounts, transactions, orders) is stored in PostgreSQL (or CockroachDB for distributed SQL). High-performance order book and trading data uses a custom in-memory engine backed by Apache Kafka for durability. Caching and session storage uses Redis Cluster with persistence enabled. Time-series data (market data, analytics metrics) uses ClickHouse for fast analytical queries. Document storage (KYC documents, audit logs, configuration) uses MongoDB. Search functionality uses Elasticsearch for full-text search across help articles, support tickets, and transaction records.</w:t>
      </w:r>
    </w:p>
    <w:p>
      <w:pPr>
        <w:keepNext/>
        <w:spacing w:after="80" w:before="200" w:line="312"/>
      </w:pPr>
      <w:r>
        <w:rPr>
          <w:rFonts w:ascii="Times New Roman"/>
          <w:b/>
          <w:bCs/>
          <w:i/>
          <w:iCs/>
          <w:color w:val="4A6575"/>
          <w:sz w:val="20"/>
          <w:szCs w:val="20"/>
        </w:rPr>
        <w:t xml:space="preserve">Table 10.1: Database Technology Mapping</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Data Domain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Database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Replication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Retention</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User Profiles</w:t>
            </w:r>
          </w:p>
        </w:tc>
        <w:tc>
          <w:tcPr>
            <w:shd w:fill="EDF3F5" w:val="clear"/>
            <w:tcMar>
              <w:top w:type="dxa" w:w="50"/>
              <w:left w:type="dxa" w:w="100"/>
              <w:bottom w:type="dxa" w:w="50"/>
              <w:right w:type="dxa" w:w="100"/>
            </w:tcMar>
          </w:tcPr>
          <w:p>
            <w:r>
              <w:rPr>
                <w:rFonts w:ascii="Times New Roman"/>
                <w:color w:val="1A1A1A"/>
                <w:sz w:val="20"/>
                <w:szCs w:val="20"/>
              </w:rPr>
              <w:t xml:space="preserve">PostgreSQL</w:t>
            </w:r>
          </w:p>
        </w:tc>
        <w:tc>
          <w:tcPr>
            <w:shd w:fill="EDF3F5" w:val="clear"/>
            <w:tcMar>
              <w:top w:type="dxa" w:w="50"/>
              <w:left w:type="dxa" w:w="100"/>
              <w:bottom w:type="dxa" w:w="50"/>
              <w:right w:type="dxa" w:w="100"/>
            </w:tcMar>
          </w:tcPr>
          <w:p>
            <w:r>
              <w:rPr>
                <w:rFonts w:ascii="Times New Roman"/>
                <w:color w:val="1A1A1A"/>
                <w:sz w:val="20"/>
                <w:szCs w:val="20"/>
              </w:rPr>
              <w:t xml:space="preserve">Synchronous Multi-Master</w:t>
            </w:r>
          </w:p>
        </w:tc>
        <w:tc>
          <w:tcPr>
            <w:shd w:fill="EDF3F5" w:val="clear"/>
            <w:tcMar>
              <w:top w:type="dxa" w:w="50"/>
              <w:left w:type="dxa" w:w="100"/>
              <w:bottom w:type="dxa" w:w="50"/>
              <w:right w:type="dxa" w:w="100"/>
            </w:tcMar>
          </w:tcPr>
          <w:p>
            <w:r>
              <w:rPr>
                <w:rFonts w:ascii="Times New Roman"/>
                <w:color w:val="1A1A1A"/>
                <w:sz w:val="20"/>
                <w:szCs w:val="20"/>
              </w:rPr>
              <w:t xml:space="preserve">Account lifetime + 5yr</w:t>
            </w:r>
          </w:p>
        </w:tc>
      </w:tr>
      <w:tr>
        <w:trPr>
          <w:cantSplit/>
        </w:trPr>
        <w:tc>
          <w:tcPr>
            <w:tcMar>
              <w:top w:type="dxa" w:w="50"/>
              <w:left w:type="dxa" w:w="100"/>
              <w:bottom w:type="dxa" w:w="50"/>
              <w:right w:type="dxa" w:w="100"/>
            </w:tcMar>
          </w:tcPr>
          <w:p>
            <w:r>
              <w:rPr>
                <w:rFonts w:ascii="Times New Roman"/>
                <w:color w:val="1A1A1A"/>
                <w:sz w:val="20"/>
                <w:szCs w:val="20"/>
              </w:rPr>
              <w:t xml:space="preserve">Trading Accounts</w:t>
            </w:r>
          </w:p>
        </w:tc>
        <w:tc>
          <w:tcPr>
            <w:tcMar>
              <w:top w:type="dxa" w:w="50"/>
              <w:left w:type="dxa" w:w="100"/>
              <w:bottom w:type="dxa" w:w="50"/>
              <w:right w:type="dxa" w:w="100"/>
            </w:tcMar>
          </w:tcPr>
          <w:p>
            <w:r>
              <w:rPr>
                <w:rFonts w:ascii="Times New Roman"/>
                <w:color w:val="1A1A1A"/>
                <w:sz w:val="20"/>
                <w:szCs w:val="20"/>
              </w:rPr>
              <w:t xml:space="preserve">PostgreSQL</w:t>
            </w:r>
          </w:p>
        </w:tc>
        <w:tc>
          <w:tcPr>
            <w:tcMar>
              <w:top w:type="dxa" w:w="50"/>
              <w:left w:type="dxa" w:w="100"/>
              <w:bottom w:type="dxa" w:w="50"/>
              <w:right w:type="dxa" w:w="100"/>
            </w:tcMar>
          </w:tcPr>
          <w:p>
            <w:r>
              <w:rPr>
                <w:rFonts w:ascii="Times New Roman"/>
                <w:color w:val="1A1A1A"/>
                <w:sz w:val="20"/>
                <w:szCs w:val="20"/>
              </w:rPr>
              <w:t xml:space="preserve">Synchronous Multi-Master</w:t>
            </w:r>
          </w:p>
        </w:tc>
        <w:tc>
          <w:tcPr>
            <w:tcMar>
              <w:top w:type="dxa" w:w="50"/>
              <w:left w:type="dxa" w:w="100"/>
              <w:bottom w:type="dxa" w:w="50"/>
              <w:right w:type="dxa" w:w="100"/>
            </w:tcMar>
          </w:tcPr>
          <w:p>
            <w:r>
              <w:rPr>
                <w:rFonts w:ascii="Times New Roman"/>
                <w:color w:val="1A1A1A"/>
                <w:sz w:val="20"/>
                <w:szCs w:val="20"/>
              </w:rPr>
              <w:t xml:space="preserve">Account lifetime + 7yr</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Order History</w:t>
            </w:r>
          </w:p>
        </w:tc>
        <w:tc>
          <w:tcPr>
            <w:shd w:fill="EDF3F5" w:val="clear"/>
            <w:tcMar>
              <w:top w:type="dxa" w:w="50"/>
              <w:left w:type="dxa" w:w="100"/>
              <w:bottom w:type="dxa" w:w="50"/>
              <w:right w:type="dxa" w:w="100"/>
            </w:tcMar>
          </w:tcPr>
          <w:p>
            <w:r>
              <w:rPr>
                <w:rFonts w:ascii="Times New Roman"/>
                <w:color w:val="1A1A1A"/>
                <w:sz w:val="20"/>
                <w:szCs w:val="20"/>
              </w:rPr>
              <w:t xml:space="preserve">PostgreSQL + ClickHouse</w:t>
            </w:r>
          </w:p>
        </w:tc>
        <w:tc>
          <w:tcPr>
            <w:shd w:fill="EDF3F5" w:val="clear"/>
            <w:tcMar>
              <w:top w:type="dxa" w:w="50"/>
              <w:left w:type="dxa" w:w="100"/>
              <w:bottom w:type="dxa" w:w="50"/>
              <w:right w:type="dxa" w:w="100"/>
            </w:tcMar>
          </w:tcPr>
          <w:p>
            <w:r>
              <w:rPr>
                <w:rFonts w:ascii="Times New Roman"/>
                <w:color w:val="1A1A1A"/>
                <w:sz w:val="20"/>
                <w:szCs w:val="20"/>
              </w:rPr>
              <w:t xml:space="preserve">Async to ClickHouse</w:t>
            </w:r>
          </w:p>
        </w:tc>
        <w:tc>
          <w:tcPr>
            <w:shd w:fill="EDF3F5" w:val="clear"/>
            <w:tcMar>
              <w:top w:type="dxa" w:w="50"/>
              <w:left w:type="dxa" w:w="100"/>
              <w:bottom w:type="dxa" w:w="50"/>
              <w:right w:type="dxa" w:w="100"/>
            </w:tcMar>
          </w:tcPr>
          <w:p>
            <w:r>
              <w:rPr>
                <w:rFonts w:ascii="Times New Roman"/>
                <w:color w:val="1A1A1A"/>
                <w:sz w:val="20"/>
                <w:szCs w:val="20"/>
              </w:rPr>
              <w:t xml:space="preserve">7 years</w:t>
            </w:r>
          </w:p>
        </w:tc>
      </w:tr>
      <w:tr>
        <w:trPr>
          <w:cantSplit/>
        </w:trPr>
        <w:tc>
          <w:tcPr>
            <w:tcMar>
              <w:top w:type="dxa" w:w="50"/>
              <w:left w:type="dxa" w:w="100"/>
              <w:bottom w:type="dxa" w:w="50"/>
              <w:right w:type="dxa" w:w="100"/>
            </w:tcMar>
          </w:tcPr>
          <w:p>
            <w:r>
              <w:rPr>
                <w:rFonts w:ascii="Times New Roman"/>
                <w:color w:val="1A1A1A"/>
                <w:sz w:val="20"/>
                <w:szCs w:val="20"/>
              </w:rPr>
              <w:t xml:space="preserve">Trade History</w:t>
            </w:r>
          </w:p>
        </w:tc>
        <w:tc>
          <w:tcPr>
            <w:tcMar>
              <w:top w:type="dxa" w:w="50"/>
              <w:left w:type="dxa" w:w="100"/>
              <w:bottom w:type="dxa" w:w="50"/>
              <w:right w:type="dxa" w:w="100"/>
            </w:tcMar>
          </w:tcPr>
          <w:p>
            <w:r>
              <w:rPr>
                <w:rFonts w:ascii="Times New Roman"/>
                <w:color w:val="1A1A1A"/>
                <w:sz w:val="20"/>
                <w:szCs w:val="20"/>
              </w:rPr>
              <w:t xml:space="preserve">PostgreSQL + ClickHouse</w:t>
            </w:r>
          </w:p>
        </w:tc>
        <w:tc>
          <w:tcPr>
            <w:tcMar>
              <w:top w:type="dxa" w:w="50"/>
              <w:left w:type="dxa" w:w="100"/>
              <w:bottom w:type="dxa" w:w="50"/>
              <w:right w:type="dxa" w:w="100"/>
            </w:tcMar>
          </w:tcPr>
          <w:p>
            <w:r>
              <w:rPr>
                <w:rFonts w:ascii="Times New Roman"/>
                <w:color w:val="1A1A1A"/>
                <w:sz w:val="20"/>
                <w:szCs w:val="20"/>
              </w:rPr>
              <w:t xml:space="preserve">Async to ClickHouse</w:t>
            </w:r>
          </w:p>
        </w:tc>
        <w:tc>
          <w:tcPr>
            <w:tcMar>
              <w:top w:type="dxa" w:w="50"/>
              <w:left w:type="dxa" w:w="100"/>
              <w:bottom w:type="dxa" w:w="50"/>
              <w:right w:type="dxa" w:w="100"/>
            </w:tcMar>
          </w:tcPr>
          <w:p>
            <w:r>
              <w:rPr>
                <w:rFonts w:ascii="Times New Roman"/>
                <w:color w:val="1A1A1A"/>
                <w:sz w:val="20"/>
                <w:szCs w:val="20"/>
              </w:rPr>
              <w:t xml:space="preserve">7 years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Market Data (OHLCV)</w:t>
            </w:r>
          </w:p>
        </w:tc>
        <w:tc>
          <w:tcPr>
            <w:shd w:fill="EDF3F5" w:val="clear"/>
            <w:tcMar>
              <w:top w:type="dxa" w:w="50"/>
              <w:left w:type="dxa" w:w="100"/>
              <w:bottom w:type="dxa" w:w="50"/>
              <w:right w:type="dxa" w:w="100"/>
            </w:tcMar>
          </w:tcPr>
          <w:p>
            <w:r>
              <w:rPr>
                <w:rFonts w:ascii="Times New Roman"/>
                <w:color w:val="1A1A1A"/>
                <w:sz w:val="20"/>
                <w:szCs w:val="20"/>
              </w:rPr>
              <w:t xml:space="preserve">ClickHouse</w:t>
            </w:r>
          </w:p>
        </w:tc>
        <w:tc>
          <w:tcPr>
            <w:shd w:fill="EDF3F5" w:val="clear"/>
            <w:tcMar>
              <w:top w:type="dxa" w:w="50"/>
              <w:left w:type="dxa" w:w="100"/>
              <w:bottom w:type="dxa" w:w="50"/>
              <w:right w:type="dxa" w:w="100"/>
            </w:tcMar>
          </w:tcPr>
          <w:p>
            <w:r>
              <w:rPr>
                <w:rFonts w:ascii="Times New Roman"/>
                <w:color w:val="1A1A1A"/>
                <w:sz w:val="20"/>
                <w:szCs w:val="20"/>
              </w:rPr>
              <w:t xml:space="preserve">Replicated cluster</w:t>
            </w:r>
          </w:p>
        </w:tc>
        <w:tc>
          <w:tcPr>
            <w:shd w:fill="EDF3F5" w:val="clear"/>
            <w:tcMar>
              <w:top w:type="dxa" w:w="50"/>
              <w:left w:type="dxa" w:w="100"/>
              <w:bottom w:type="dxa" w:w="50"/>
              <w:right w:type="dxa" w:w="100"/>
            </w:tcMar>
          </w:tcPr>
          <w:p>
            <w:r>
              <w:rPr>
                <w:rFonts w:ascii="Times New Roman"/>
                <w:color w:val="1A1A1A"/>
                <w:sz w:val="20"/>
                <w:szCs w:val="20"/>
              </w:rPr>
              <w:t xml:space="preserve">5 years</w:t>
            </w:r>
          </w:p>
        </w:tc>
      </w:tr>
      <w:tr>
        <w:trPr>
          <w:cantSplit/>
        </w:trPr>
        <w:tc>
          <w:tcPr>
            <w:tcMar>
              <w:top w:type="dxa" w:w="50"/>
              <w:left w:type="dxa" w:w="100"/>
              <w:bottom w:type="dxa" w:w="50"/>
              <w:right w:type="dxa" w:w="100"/>
            </w:tcMar>
          </w:tcPr>
          <w:p>
            <w:r>
              <w:rPr>
                <w:rFonts w:ascii="Times New Roman"/>
                <w:color w:val="1A1A1A"/>
                <w:sz w:val="20"/>
                <w:szCs w:val="20"/>
              </w:rPr>
              <w:t xml:space="preserve">Order Book Snapshots</w:t>
            </w:r>
          </w:p>
        </w:tc>
        <w:tc>
          <w:tcPr>
            <w:tcMar>
              <w:top w:type="dxa" w:w="50"/>
              <w:left w:type="dxa" w:w="100"/>
              <w:bottom w:type="dxa" w:w="50"/>
              <w:right w:type="dxa" w:w="100"/>
            </w:tcMar>
          </w:tcPr>
          <w:p>
            <w:r>
              <w:rPr>
                <w:rFonts w:ascii="Times New Roman"/>
                <w:color w:val="1A1A1A"/>
                <w:sz w:val="20"/>
                <w:szCs w:val="20"/>
              </w:rPr>
              <w:t xml:space="preserve">ClickHouse</w:t>
            </w:r>
          </w:p>
        </w:tc>
        <w:tc>
          <w:tcPr>
            <w:tcMar>
              <w:top w:type="dxa" w:w="50"/>
              <w:left w:type="dxa" w:w="100"/>
              <w:bottom w:type="dxa" w:w="50"/>
              <w:right w:type="dxa" w:w="100"/>
            </w:tcMar>
          </w:tcPr>
          <w:p>
            <w:r>
              <w:rPr>
                <w:rFonts w:ascii="Times New Roman"/>
                <w:color w:val="1A1A1A"/>
                <w:sz w:val="20"/>
                <w:szCs w:val="20"/>
              </w:rPr>
              <w:t xml:space="preserve">Replicated cluster</w:t>
            </w:r>
          </w:p>
        </w:tc>
        <w:tc>
          <w:tcPr>
            <w:tcMar>
              <w:top w:type="dxa" w:w="50"/>
              <w:left w:type="dxa" w:w="100"/>
              <w:bottom w:type="dxa" w:w="50"/>
              <w:right w:type="dxa" w:w="100"/>
            </w:tcMar>
          </w:tcPr>
          <w:p>
            <w:r>
              <w:rPr>
                <w:rFonts w:ascii="Times New Roman"/>
                <w:color w:val="1A1A1A"/>
                <w:sz w:val="20"/>
                <w:szCs w:val="20"/>
              </w:rPr>
              <w:t xml:space="preserve">1 year</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Sessions / Cache</w:t>
            </w:r>
          </w:p>
        </w:tc>
        <w:tc>
          <w:tcPr>
            <w:shd w:fill="EDF3F5" w:val="clear"/>
            <w:tcMar>
              <w:top w:type="dxa" w:w="50"/>
              <w:left w:type="dxa" w:w="100"/>
              <w:bottom w:type="dxa" w:w="50"/>
              <w:right w:type="dxa" w:w="100"/>
            </w:tcMar>
          </w:tcPr>
          <w:p>
            <w:r>
              <w:rPr>
                <w:rFonts w:ascii="Times New Roman"/>
                <w:color w:val="1A1A1A"/>
                <w:sz w:val="20"/>
                <w:szCs w:val="20"/>
              </w:rPr>
              <w:t xml:space="preserve">Redis Cluster</w:t>
            </w:r>
          </w:p>
        </w:tc>
        <w:tc>
          <w:tcPr>
            <w:shd w:fill="EDF3F5" w:val="clear"/>
            <w:tcMar>
              <w:top w:type="dxa" w:w="50"/>
              <w:left w:type="dxa" w:w="100"/>
              <w:bottom w:type="dxa" w:w="50"/>
              <w:right w:type="dxa" w:w="100"/>
            </w:tcMar>
          </w:tcPr>
          <w:p>
            <w:r>
              <w:rPr>
                <w:rFonts w:ascii="Times New Roman"/>
                <w:color w:val="1A1A1A"/>
                <w:sz w:val="20"/>
                <w:szCs w:val="20"/>
              </w:rPr>
              <w:t xml:space="preserve">Async replication</w:t>
            </w:r>
          </w:p>
        </w:tc>
        <w:tc>
          <w:tcPr>
            <w:shd w:fill="EDF3F5" w:val="clear"/>
            <w:tcMar>
              <w:top w:type="dxa" w:w="50"/>
              <w:left w:type="dxa" w:w="100"/>
              <w:bottom w:type="dxa" w:w="50"/>
              <w:right w:type="dxa" w:w="100"/>
            </w:tcMar>
          </w:tcPr>
          <w:p>
            <w:r>
              <w:rPr>
                <w:rFonts w:ascii="Times New Roman"/>
                <w:color w:val="1A1A1A"/>
                <w:sz w:val="20"/>
                <w:szCs w:val="20"/>
              </w:rPr>
              <w:t xml:space="preserve">Session lifetime</w:t>
            </w:r>
          </w:p>
        </w:tc>
      </w:tr>
      <w:tr>
        <w:trPr>
          <w:cantSplit/>
        </w:trPr>
        <w:tc>
          <w:tcPr>
            <w:tcMar>
              <w:top w:type="dxa" w:w="50"/>
              <w:left w:type="dxa" w:w="100"/>
              <w:bottom w:type="dxa" w:w="50"/>
              <w:right w:type="dxa" w:w="100"/>
            </w:tcMar>
          </w:tcPr>
          <w:p>
            <w:r>
              <w:rPr>
                <w:rFonts w:ascii="Times New Roman"/>
                <w:color w:val="1A1A1A"/>
                <w:sz w:val="20"/>
                <w:szCs w:val="20"/>
              </w:rPr>
              <w:t xml:space="preserve">KYC Documents</w:t>
            </w:r>
          </w:p>
        </w:tc>
        <w:tc>
          <w:tcPr>
            <w:tcMar>
              <w:top w:type="dxa" w:w="50"/>
              <w:left w:type="dxa" w:w="100"/>
              <w:bottom w:type="dxa" w:w="50"/>
              <w:right w:type="dxa" w:w="100"/>
            </w:tcMar>
          </w:tcPr>
          <w:p>
            <w:r>
              <w:rPr>
                <w:rFonts w:ascii="Times New Roman"/>
                <w:color w:val="1A1A1A"/>
                <w:sz w:val="20"/>
                <w:szCs w:val="20"/>
              </w:rPr>
              <w:t xml:space="preserve">MongoDB + S3</w:t>
            </w:r>
          </w:p>
        </w:tc>
        <w:tc>
          <w:tcPr>
            <w:tcMar>
              <w:top w:type="dxa" w:w="50"/>
              <w:left w:type="dxa" w:w="100"/>
              <w:bottom w:type="dxa" w:w="50"/>
              <w:right w:type="dxa" w:w="100"/>
            </w:tcMar>
          </w:tcPr>
          <w:p>
            <w:r>
              <w:rPr>
                <w:rFonts w:ascii="Times New Roman"/>
                <w:color w:val="1A1A1A"/>
                <w:sz w:val="20"/>
                <w:szCs w:val="20"/>
              </w:rPr>
              <w:t xml:space="preserve">Geo-replicated S3</w:t>
            </w:r>
          </w:p>
        </w:tc>
        <w:tc>
          <w:tcPr>
            <w:tcMar>
              <w:top w:type="dxa" w:w="50"/>
              <w:left w:type="dxa" w:w="100"/>
              <w:bottom w:type="dxa" w:w="50"/>
              <w:right w:type="dxa" w:w="100"/>
            </w:tcMar>
          </w:tcPr>
          <w:p>
            <w:r>
              <w:rPr>
                <w:rFonts w:ascii="Times New Roman"/>
                <w:color w:val="1A1A1A"/>
                <w:sz w:val="20"/>
                <w:szCs w:val="20"/>
              </w:rPr>
              <w:t xml:space="preserve">5 years post-closure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Audit Logs</w:t>
            </w:r>
          </w:p>
        </w:tc>
        <w:tc>
          <w:tcPr>
            <w:shd w:fill="EDF3F5" w:val="clear"/>
            <w:tcMar>
              <w:top w:type="dxa" w:w="50"/>
              <w:left w:type="dxa" w:w="100"/>
              <w:bottom w:type="dxa" w:w="50"/>
              <w:right w:type="dxa" w:w="100"/>
            </w:tcMar>
          </w:tcPr>
          <w:p>
            <w:r>
              <w:rPr>
                <w:rFonts w:ascii="Times New Roman"/>
                <w:color w:val="1A1A1A"/>
                <w:sz w:val="20"/>
                <w:szCs w:val="20"/>
              </w:rPr>
              <w:t xml:space="preserve">ClickHouse</w:t>
            </w:r>
          </w:p>
        </w:tc>
        <w:tc>
          <w:tcPr>
            <w:shd w:fill="EDF3F5" w:val="clear"/>
            <w:tcMar>
              <w:top w:type="dxa" w:w="50"/>
              <w:left w:type="dxa" w:w="100"/>
              <w:bottom w:type="dxa" w:w="50"/>
              <w:right w:type="dxa" w:w="100"/>
            </w:tcMar>
          </w:tcPr>
          <w:p>
            <w:r>
              <w:rPr>
                <w:rFonts w:ascii="Times New Roman"/>
                <w:color w:val="1A1A1A"/>
                <w:sz w:val="20"/>
                <w:szCs w:val="20"/>
              </w:rPr>
              <w:t xml:space="preserve">Replicated cluster</w:t>
            </w:r>
          </w:p>
        </w:tc>
        <w:tc>
          <w:tcPr>
            <w:shd w:fill="EDF3F5" w:val="clear"/>
            <w:tcMar>
              <w:top w:type="dxa" w:w="50"/>
              <w:left w:type="dxa" w:w="100"/>
              <w:bottom w:type="dxa" w:w="50"/>
              <w:right w:type="dxa" w:w="100"/>
            </w:tcMar>
          </w:tcPr>
          <w:p>
            <w:r>
              <w:rPr>
                <w:rFonts w:ascii="Times New Roman"/>
                <w:color w:val="1A1A1A"/>
                <w:sz w:val="20"/>
                <w:szCs w:val="20"/>
              </w:rPr>
              <w:t xml:space="preserve">10 years</w:t>
            </w:r>
          </w:p>
        </w:tc>
      </w:tr>
      <w:tr>
        <w:trPr>
          <w:cantSplit/>
        </w:trPr>
        <w:tc>
          <w:tcPr>
            <w:tcMar>
              <w:top w:type="dxa" w:w="50"/>
              <w:left w:type="dxa" w:w="100"/>
              <w:bottom w:type="dxa" w:w="50"/>
              <w:right w:type="dxa" w:w="100"/>
            </w:tcMar>
          </w:tcPr>
          <w:p>
            <w:r>
              <w:rPr>
                <w:rFonts w:ascii="Times New Roman"/>
                <w:color w:val="1A1A1A"/>
                <w:sz w:val="20"/>
                <w:szCs w:val="20"/>
              </w:rPr>
              <w:t xml:space="preserve">Wallet Balances</w:t>
            </w:r>
          </w:p>
        </w:tc>
        <w:tc>
          <w:tcPr>
            <w:tcMar>
              <w:top w:type="dxa" w:w="50"/>
              <w:left w:type="dxa" w:w="100"/>
              <w:bottom w:type="dxa" w:w="50"/>
              <w:right w:type="dxa" w:w="100"/>
            </w:tcMar>
          </w:tcPr>
          <w:p>
            <w:r>
              <w:rPr>
                <w:rFonts w:ascii="Times New Roman"/>
                <w:color w:val="1A1A1A"/>
                <w:sz w:val="20"/>
                <w:szCs w:val="20"/>
              </w:rPr>
              <w:t xml:space="preserve">PostgreSQL (Hot)</w:t>
            </w:r>
          </w:p>
        </w:tc>
        <w:tc>
          <w:tcPr>
            <w:tcMar>
              <w:top w:type="dxa" w:w="50"/>
              <w:left w:type="dxa" w:w="100"/>
              <w:bottom w:type="dxa" w:w="50"/>
              <w:right w:type="dxa" w:w="100"/>
            </w:tcMar>
          </w:tcPr>
          <w:p>
            <w:r>
              <w:rPr>
                <w:rFonts w:ascii="Times New Roman"/>
                <w:color w:val="1A1A1A"/>
                <w:sz w:val="20"/>
                <w:szCs w:val="20"/>
              </w:rPr>
              <w:t xml:space="preserve">Synchronous</w:t>
            </w:r>
          </w:p>
        </w:tc>
        <w:tc>
          <w:tcPr>
            <w:tcMar>
              <w:top w:type="dxa" w:w="50"/>
              <w:left w:type="dxa" w:w="100"/>
              <w:bottom w:type="dxa" w:w="50"/>
              <w:right w:type="dxa" w:w="100"/>
            </w:tcMar>
          </w:tcPr>
          <w:p>
            <w:r>
              <w:rPr>
                <w:rFonts w:ascii="Times New Roman"/>
                <w:color w:val="1A1A1A"/>
                <w:sz w:val="20"/>
                <w:szCs w:val="20"/>
              </w:rPr>
              <w:t xml:space="preserve">Real-time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Wallet Balances (Cold)</w:t>
            </w:r>
          </w:p>
        </w:tc>
        <w:tc>
          <w:tcPr>
            <w:shd w:fill="EDF3F5" w:val="clear"/>
            <w:tcMar>
              <w:top w:type="dxa" w:w="50"/>
              <w:left w:type="dxa" w:w="100"/>
              <w:bottom w:type="dxa" w:w="50"/>
              <w:right w:type="dxa" w:w="100"/>
            </w:tcMar>
          </w:tcPr>
          <w:p>
            <w:r>
              <w:rPr>
                <w:rFonts w:ascii="Times New Roman"/>
                <w:color w:val="1A1A1A"/>
                <w:sz w:val="20"/>
                <w:szCs w:val="20"/>
              </w:rPr>
              <w:t xml:space="preserve">PostgreSQL (Cold)</w:t>
            </w:r>
          </w:p>
        </w:tc>
        <w:tc>
          <w:tcPr>
            <w:shd w:fill="EDF3F5" w:val="clear"/>
            <w:tcMar>
              <w:top w:type="dxa" w:w="50"/>
              <w:left w:type="dxa" w:w="100"/>
              <w:bottom w:type="dxa" w:w="50"/>
              <w:right w:type="dxa" w:w="100"/>
            </w:tcMar>
          </w:tcPr>
          <w:p>
            <w:r>
              <w:rPr>
                <w:rFonts w:ascii="Times New Roman"/>
                <w:color w:val="1A1A1A"/>
                <w:sz w:val="20"/>
                <w:szCs w:val="20"/>
              </w:rPr>
              <w:t xml:space="preserve">Async + encrypted</w:t>
            </w:r>
          </w:p>
        </w:tc>
        <w:tc>
          <w:tcPr>
            <w:shd w:fill="EDF3F5" w:val="clear"/>
            <w:tcMar>
              <w:top w:type="dxa" w:w="50"/>
              <w:left w:type="dxa" w:w="100"/>
              <w:bottom w:type="dxa" w:w="50"/>
              <w:right w:type="dxa" w:w="100"/>
            </w:tcMar>
          </w:tcPr>
          <w:p>
            <w:r>
              <w:rPr>
                <w:rFonts w:ascii="Times New Roman"/>
                <w:color w:val="1A1A1A"/>
                <w:sz w:val="20"/>
                <w:szCs w:val="20"/>
              </w:rPr>
              <w:t xml:space="preserve">Permanent</w:t>
            </w:r>
          </w:p>
        </w:tc>
      </w:tr>
    </w:tbl>
    <w:p>
      <w:pPr>
        <w:spacing w:after="60" w:before="60"/>
      </w:pPr>
    </w:p>
    <w:p>
      <w:pPr>
        <w:pStyle w:val="Heading2"/>
        <w:spacing w:after="160" w:before="360" w:line="312"/>
      </w:pPr>
      <w:bookmarkStart w:id="100072" w:name="_Toc100072"/>
      <w:r>
        <w:rPr>
          <w:rFonts w:ascii="Times New Roman"/>
          <w:b/>
          <w:bCs/>
          <w:color w:val="0F2027"/>
          <w:sz w:val="30"/>
          <w:szCs w:val="30"/>
        </w:rPr>
        <w:t xml:space="preserve">10.2 Core Schema: Users</w:t>
      </w:r>
      <w:bookmarkEnd w:id="100072"/>
    </w:p>
    <w:p>
      <w:pPr>
        <w:shd w:fill="F0F4F8" w:val="clear"/>
        <w:spacing w:after="80" w:before="80" w:line="276"/>
        <w:ind w:left="200"/>
      </w:pPr>
      <w:r>
        <w:rPr>
          <w:rFonts w:ascii="Courier New"/>
          <w:color w:val="4A6575"/>
          <w:sz w:val="17"/>
          <w:szCs w:val="17"/>
        </w:rPr>
        <w:t xml:space="preserve">Table: users { user_id: BIGSERIAL PK; email: VARCHAR(255) UNIQUE NOT NULL; phone: VARCHAR(50) UNIQUE; password_hash: VARCHAR(255); kyc_level: SMALLINT DEFAULT 0; referral_code: VARCHAR(16) UNIQUE; referred_by: BIGINT FK(users); created_at: TIMESTAMP WITH TIME ZONE; updated_at: TIMESTAMP WITH TIME ZONE; status: VARCHAR(20) DEFAULT 'ACTIVE'; two_factor_enabled: BOOLEAN DEFAULT FALSE; } Table: user_profiles { user_id: BIGINT PK FK(users); first_name: VARCHAR(100); last_name: VARCHAR(100); date_of_birth: DATE; nationality: VARCHAR(3); address: JSONB; tax_id: VARCHAR(50); }</w:t>
      </w:r>
    </w:p>
    <w:p>
      <w:pPr>
        <w:spacing w:after="60" w:before="60"/>
      </w:pPr>
    </w:p>
    <w:p>
      <w:pPr>
        <w:pStyle w:val="Heading2"/>
        <w:spacing w:after="160" w:before="360" w:line="312"/>
      </w:pPr>
      <w:bookmarkStart w:id="100073" w:name="_Toc100073"/>
      <w:r>
        <w:rPr>
          <w:rFonts w:ascii="Times New Roman"/>
          <w:b/>
          <w:bCs/>
          <w:color w:val="0F2027"/>
          <w:sz w:val="30"/>
          <w:szCs w:val="30"/>
        </w:rPr>
        <w:t xml:space="preserve">10.3 Core Schema: Trading</w:t>
      </w:r>
      <w:bookmarkEnd w:id="100073"/>
    </w:p>
    <w:p>
      <w:pPr>
        <w:shd w:fill="F0F4F8" w:val="clear"/>
        <w:spacing w:after="80" w:before="80" w:line="276"/>
        <w:ind w:left="200"/>
      </w:pPr>
      <w:r>
        <w:rPr>
          <w:rFonts w:ascii="Courier New"/>
          <w:color w:val="4A6575"/>
          <w:sz w:val="17"/>
          <w:szCs w:val="17"/>
        </w:rPr>
        <w:t xml:space="preserve">Table: orders { order_id: BIGSERIAL PK; user_id: BIGINT NOT NULL FK(users); pair_id: INT NOT NULL; side: SMALLINT NOT NULL; order_type: SMALLINT NOT NULL; price: NUMERIC(24,8); quantity: NUMERIC(24,8); filled_quantity: NUMERIC(24,8) DEFAULT 0; status: SMALLINT DEFAULT 0; created_at: TIMESTAMP WITH TIME ZONE; updated_at: TIMESTAMP WITH TIME ZONE; } Table: trades { trade_id: BIGSERIAL PK; maker_order_id: BIGINT FK(orders); taker_order_id: BIGINT FK(orders); pair_id: INT NOT NULL; price: NUMERIC(24,8) NOT NULL; quantity: NUMERIC(24,8) NOT NULL; executed_at: TIMESTAMP WITH TIME ZONE; }</w:t>
      </w:r>
    </w:p>
    <w:p>
      <w:pPr>
        <w:spacing w:after="60" w:before="60"/>
      </w:pPr>
    </w:p>
    <w:p>
      <w:pPr>
        <w:pStyle w:val="Heading2"/>
        <w:spacing w:after="160" w:before="360" w:line="312"/>
      </w:pPr>
      <w:bookmarkStart w:id="100074" w:name="_Toc100074"/>
      <w:r>
        <w:rPr>
          <w:rFonts w:ascii="Times New Roman"/>
          <w:b/>
          <w:bCs/>
          <w:color w:val="0F2027"/>
          <w:sz w:val="30"/>
          <w:szCs w:val="30"/>
        </w:rPr>
        <w:t xml:space="preserve">10.4 Indexing and Partitioning</w:t>
      </w:r>
      <w:bookmarkEnd w:id="100074"/>
    </w:p>
    <w:p>
      <w:pPr>
        <w:spacing w:after="120" w:line="312"/>
        <w:jc w:val="both"/>
      </w:pPr>
      <w:r>
        <w:rPr>
          <w:rFonts w:ascii="Times New Roman"/>
          <w:color w:val="1A1A1A"/>
          <w:sz w:val="22"/>
          <w:szCs w:val="22"/>
        </w:rPr>
        <w:t xml:space="preserve">All tables use strategic indexing and partitioning to maintain query performance at scale. The orders table is range-partitioned by created_at (monthly partitions for the current year, quarterly for historical data) and indexed on (user_id, pair_id, status) for real-time order queries. The trades table is range-partitioned by executed_at and indexed on (pair_id, executed_at) for time-series queries, and (maker_order_id, taker_order_id) for order-related lookups. The user_profiles table uses B-tree indexes on email and phone for login queries, and a GIN index on the address JSONB field for address-based queries.</w:t>
      </w:r>
    </w:p>
    <w:p>
      <w:pPr>
        <w:spacing w:after="120" w:line="312"/>
        <w:jc w:val="both"/>
      </w:pPr>
      <w:r>
        <w:rPr>
          <w:rFonts w:ascii="Times New Roman"/>
          <w:color w:val="1A1A1A"/>
          <w:sz w:val="22"/>
          <w:szCs w:val="22"/>
        </w:rPr>
        <w:t xml:space="preserve">ClickHouse tables use MergeTree engine family with appropriate sorting keys: market data tables are sorted by (pair_id, timestamp) for efficient range queries. PostgreSQL uses BRIN indexes for time-series data (blockchain block data, deposit/withdrawal history) to reduce index size while maintaining query performance. Full-text search in Elasticsearch uses custom analyzers optimized for financial and cryptocurrency terminology. All databases implement connection pooling (PgBouncer for PostgreSQL, Jedis for Redis) to manage connection lifecycle efficiently.</w:t>
      </w:r>
    </w:p>
    <w:p>
      <w:pPr>
        <w:pStyle w:val="Heading1"/>
        <w:spacing w:after="200" w:before="480" w:line="312"/>
      </w:pPr>
      <w:bookmarkStart w:id="100075" w:name="_Toc100075"/>
      <w:r>
        <w:rPr>
          <w:rFonts w:ascii="Times New Roman"/>
          <w:b/>
          <w:bCs/>
          <w:color w:val="0F2027"/>
          <w:sz w:val="36"/>
          <w:szCs w:val="36"/>
        </w:rPr>
        <w:t xml:space="preserve">Section 11: Infrastructure</w:t>
      </w:r>
      <w:bookmarkEnd w:id="100075"/>
    </w:p>
    <w:p>
      <w:pPr>
        <w:pStyle w:val="Heading2"/>
        <w:spacing w:after="160" w:before="360" w:line="312"/>
      </w:pPr>
      <w:bookmarkStart w:id="100076" w:name="_Toc100076"/>
      <w:r>
        <w:rPr>
          <w:rFonts w:ascii="Times New Roman"/>
          <w:b/>
          <w:bCs/>
          <w:color w:val="0F2027"/>
          <w:sz w:val="30"/>
          <w:szCs w:val="30"/>
        </w:rPr>
        <w:t xml:space="preserve">11.1 Multi-Cloud Deployment Strategy</w:t>
      </w:r>
      <w:bookmarkEnd w:id="100076"/>
    </w:p>
    <w:p>
      <w:pPr>
        <w:spacing w:after="120" w:line="312"/>
        <w:jc w:val="both"/>
      </w:pPr>
      <w:r>
        <w:rPr>
          <w:rFonts w:ascii="Times New Roman"/>
          <w:color w:val="1A1A1A"/>
          <w:sz w:val="22"/>
          <w:szCs w:val="22"/>
        </w:rPr>
        <w:t xml:space="preserve">The platform employs a multi-cloud deployment strategy for maximum availability and vendor risk mitigation. The primary infrastructure runs on AWS (us-east-1 as primary region, with cross-region replication to us-west-2 for disaster recovery). A secondary deployment on GCP (europe-west1) serves European users and provides regulatory data residency compliance. A tertiary deployment on Azure (southeast-asia) serves Asia-Pacific users. Each cloud deployment is functionally independent, capable of operating the full platform in isolation, with asynchronous data synchronization between regions for global consistency.</w:t>
      </w:r>
    </w:p>
    <w:p>
      <w:pPr>
        <w:pStyle w:val="Heading2"/>
        <w:spacing w:after="160" w:before="360" w:line="312"/>
      </w:pPr>
      <w:bookmarkStart w:id="100077" w:name="_Toc100077"/>
      <w:r>
        <w:rPr>
          <w:rFonts w:ascii="Times New Roman"/>
          <w:b/>
          <w:bCs/>
          <w:color w:val="0F2027"/>
          <w:sz w:val="30"/>
          <w:szCs w:val="30"/>
        </w:rPr>
        <w:t xml:space="preserve">11.2 Kubernetes Architecture</w:t>
      </w:r>
      <w:bookmarkEnd w:id="100077"/>
    </w:p>
    <w:p>
      <w:pPr>
        <w:spacing w:after="120" w:line="312"/>
        <w:jc w:val="both"/>
      </w:pPr>
      <w:r>
        <w:rPr>
          <w:rFonts w:ascii="Times New Roman"/>
          <w:color w:val="1A1A1A"/>
          <w:sz w:val="22"/>
          <w:szCs w:val="22"/>
        </w:rPr>
        <w:t xml:space="preserve">All microservices are containerized and orchestrated through Kubernetes (EKS on AWS, GKE on GCP, AKS on Azure). Each Kubernetes cluster is deployed across multiple availability zones within its region, with node pools configured for different workload types: compute-optimized nodes for the matching engine, memory-optimized nodes for the order book and caching layer, general-purpose nodes for application services, and spot/preemptible instances for non-critical batch processing workloads. Horizontal Pod Autoscalers (HPA) scale services based on CPU, memory, and custom metrics (e.g., Kafka consumer lag, request latency).</w:t>
      </w:r>
    </w:p>
    <w:p>
      <w:pPr>
        <w:spacing w:after="120" w:line="312"/>
        <w:jc w:val="both"/>
      </w:pPr>
      <w:r>
        <w:rPr>
          <w:rFonts w:ascii="Times New Roman"/>
          <w:color w:val="1A1A1A"/>
          <w:sz w:val="22"/>
          <w:szCs w:val="22"/>
        </w:rPr>
        <w:t xml:space="preserve">Cluster management follows GitOps principles using ArgoCD or Flux for declarative configuration management. Infrastructure as Code (IaC) using Terraform manages all cloud resources, with state stored in a remote encrypted backend (S3 + DynamoDB for AWS). Helm charts define Kubernetes deployment specifications, parameterized per environment (development, staging, production). Resource quotas and limit ranges prevent noisy-neighbor problems in multi-tenant clusters. Network policies enforce micro-segmentation at the pod level.</w:t>
      </w:r>
    </w:p>
    <w:p>
      <w:pPr>
        <w:pStyle w:val="Heading2"/>
        <w:spacing w:after="160" w:before="360" w:line="312"/>
      </w:pPr>
      <w:bookmarkStart w:id="100078" w:name="_Toc100078"/>
      <w:r>
        <w:rPr>
          <w:rFonts w:ascii="Times New Roman"/>
          <w:b/>
          <w:bCs/>
          <w:color w:val="0F2027"/>
          <w:sz w:val="30"/>
          <w:szCs w:val="30"/>
        </w:rPr>
        <w:t xml:space="preserve">11.3 Service Mesh</w:t>
      </w:r>
      <w:bookmarkEnd w:id="100078"/>
    </w:p>
    <w:p>
      <w:pPr>
        <w:spacing w:after="120" w:line="312"/>
        <w:jc w:val="both"/>
      </w:pPr>
      <w:r>
        <w:rPr>
          <w:rFonts w:ascii="Times New Roman"/>
          <w:color w:val="1A1A1A"/>
          <w:sz w:val="22"/>
          <w:szCs w:val="22"/>
        </w:rPr>
        <w:t xml:space="preserve">An Istio service mesh provides advanced traffic management, security, and observability for inter-service communication. The mesh enforces mTLS for all service-to-service communication, providing encryption and mutual authentication at the transport layer. Traffic management features include circuit breaking, retries with exponential backoff, connection pooling, request timeouts, and canary deployments with traffic shifting. Observability features include distributed tracing (Jaeger integration), metrics collection (Prometheus), and access logging.</w:t>
      </w:r>
    </w:p>
    <w:p>
      <w:pPr>
        <w:keepNext/>
        <w:spacing w:after="80" w:before="200" w:line="312"/>
      </w:pPr>
      <w:r>
        <w:rPr>
          <w:rFonts w:ascii="Times New Roman"/>
          <w:b/>
          <w:bCs/>
          <w:i/>
          <w:iCs/>
          <w:color w:val="4A6575"/>
          <w:sz w:val="20"/>
          <w:szCs w:val="20"/>
        </w:rPr>
        <w:t xml:space="preserve">Table 11.1: Infrastructure Deployment Summary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Component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AWS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GCP</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Azure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Compute</w:t>
            </w:r>
          </w:p>
        </w:tc>
        <w:tc>
          <w:tcPr>
            <w:shd w:fill="EDF3F5" w:val="clear"/>
            <w:tcMar>
              <w:top w:type="dxa" w:w="50"/>
              <w:left w:type="dxa" w:w="100"/>
              <w:bottom w:type="dxa" w:w="50"/>
              <w:right w:type="dxa" w:w="100"/>
            </w:tcMar>
          </w:tcPr>
          <w:p>
            <w:r>
              <w:rPr>
                <w:rFonts w:ascii="Times New Roman"/>
                <w:color w:val="1A1A1A"/>
                <w:sz w:val="20"/>
                <w:szCs w:val="20"/>
              </w:rPr>
              <w:t xml:space="preserve">EKS (us-east-1)</w:t>
            </w:r>
          </w:p>
        </w:tc>
        <w:tc>
          <w:tcPr>
            <w:shd w:fill="EDF3F5" w:val="clear"/>
            <w:tcMar>
              <w:top w:type="dxa" w:w="50"/>
              <w:left w:type="dxa" w:w="100"/>
              <w:bottom w:type="dxa" w:w="50"/>
              <w:right w:type="dxa" w:w="100"/>
            </w:tcMar>
          </w:tcPr>
          <w:p>
            <w:r>
              <w:rPr>
                <w:rFonts w:ascii="Times New Roman"/>
                <w:color w:val="1A1A1A"/>
                <w:sz w:val="20"/>
                <w:szCs w:val="20"/>
              </w:rPr>
              <w:t xml:space="preserve">GKE (europe-west1)</w:t>
            </w:r>
          </w:p>
        </w:tc>
        <w:tc>
          <w:tcPr>
            <w:shd w:fill="EDF3F5" w:val="clear"/>
            <w:tcMar>
              <w:top w:type="dxa" w:w="50"/>
              <w:left w:type="dxa" w:w="100"/>
              <w:bottom w:type="dxa" w:w="50"/>
              <w:right w:type="dxa" w:w="100"/>
            </w:tcMar>
          </w:tcPr>
          <w:p>
            <w:r>
              <w:rPr>
                <w:rFonts w:ascii="Times New Roman"/>
                <w:color w:val="1A1A1A"/>
                <w:sz w:val="20"/>
                <w:szCs w:val="20"/>
              </w:rPr>
              <w:t xml:space="preserve">AKS (southeast-asia)</w:t>
            </w:r>
          </w:p>
        </w:tc>
      </w:tr>
      <w:tr>
        <w:trPr>
          <w:cantSplit/>
        </w:trPr>
        <w:tc>
          <w:tcPr>
            <w:tcMar>
              <w:top w:type="dxa" w:w="50"/>
              <w:left w:type="dxa" w:w="100"/>
              <w:bottom w:type="dxa" w:w="50"/>
              <w:right w:type="dxa" w:w="100"/>
            </w:tcMar>
          </w:tcPr>
          <w:p>
            <w:r>
              <w:rPr>
                <w:rFonts w:ascii="Times New Roman"/>
                <w:color w:val="1A1A1A"/>
                <w:sz w:val="20"/>
                <w:szCs w:val="20"/>
              </w:rPr>
              <w:t xml:space="preserve">Database Primary</w:t>
            </w:r>
          </w:p>
        </w:tc>
        <w:tc>
          <w:tcPr>
            <w:tcMar>
              <w:top w:type="dxa" w:w="50"/>
              <w:left w:type="dxa" w:w="100"/>
              <w:bottom w:type="dxa" w:w="50"/>
              <w:right w:type="dxa" w:w="100"/>
            </w:tcMar>
          </w:tcPr>
          <w:p>
            <w:r>
              <w:rPr>
                <w:rFonts w:ascii="Times New Roman"/>
                <w:color w:val="1A1A1A"/>
                <w:sz w:val="20"/>
                <w:szCs w:val="20"/>
              </w:rPr>
              <w:t xml:space="preserve">RDS / Aurora</w:t>
            </w:r>
          </w:p>
        </w:tc>
        <w:tc>
          <w:tcPr>
            <w:tcMar>
              <w:top w:type="dxa" w:w="50"/>
              <w:left w:type="dxa" w:w="100"/>
              <w:bottom w:type="dxa" w:w="50"/>
              <w:right w:type="dxa" w:w="100"/>
            </w:tcMar>
          </w:tcPr>
          <w:p>
            <w:r>
              <w:rPr>
                <w:rFonts w:ascii="Times New Roman"/>
                <w:color w:val="1A1A1A"/>
                <w:sz w:val="20"/>
                <w:szCs w:val="20"/>
              </w:rPr>
              <w:t xml:space="preserve">Cloud SQL / Spanner</w:t>
            </w:r>
          </w:p>
        </w:tc>
        <w:tc>
          <w:tcPr>
            <w:tcMar>
              <w:top w:type="dxa" w:w="50"/>
              <w:left w:type="dxa" w:w="100"/>
              <w:bottom w:type="dxa" w:w="50"/>
              <w:right w:type="dxa" w:w="100"/>
            </w:tcMar>
          </w:tcPr>
          <w:p>
            <w:r>
              <w:rPr>
                <w:rFonts w:ascii="Times New Roman"/>
                <w:color w:val="1A1A1A"/>
                <w:sz w:val="20"/>
                <w:szCs w:val="20"/>
              </w:rPr>
              <w:t xml:space="preserve">Cosmos DB / SQL</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Cache</w:t>
            </w:r>
          </w:p>
        </w:tc>
        <w:tc>
          <w:tcPr>
            <w:shd w:fill="EDF3F5" w:val="clear"/>
            <w:tcMar>
              <w:top w:type="dxa" w:w="50"/>
              <w:left w:type="dxa" w:w="100"/>
              <w:bottom w:type="dxa" w:w="50"/>
              <w:right w:type="dxa" w:w="100"/>
            </w:tcMar>
          </w:tcPr>
          <w:p>
            <w:r>
              <w:rPr>
                <w:rFonts w:ascii="Times New Roman"/>
                <w:color w:val="1A1A1A"/>
                <w:sz w:val="20"/>
                <w:szCs w:val="20"/>
              </w:rPr>
              <w:t xml:space="preserve">ElastiCache Redis</w:t>
            </w:r>
          </w:p>
        </w:tc>
        <w:tc>
          <w:tcPr>
            <w:shd w:fill="EDF3F5" w:val="clear"/>
            <w:tcMar>
              <w:top w:type="dxa" w:w="50"/>
              <w:left w:type="dxa" w:w="100"/>
              <w:bottom w:type="dxa" w:w="50"/>
              <w:right w:type="dxa" w:w="100"/>
            </w:tcMar>
          </w:tcPr>
          <w:p>
            <w:r>
              <w:rPr>
                <w:rFonts w:ascii="Times New Roman"/>
                <w:color w:val="1A1A1A"/>
                <w:sz w:val="20"/>
                <w:szCs w:val="20"/>
              </w:rPr>
              <w:t xml:space="preserve">Memorystore Redis</w:t>
            </w:r>
          </w:p>
        </w:tc>
        <w:tc>
          <w:tcPr>
            <w:shd w:fill="EDF3F5" w:val="clear"/>
            <w:tcMar>
              <w:top w:type="dxa" w:w="50"/>
              <w:left w:type="dxa" w:w="100"/>
              <w:bottom w:type="dxa" w:w="50"/>
              <w:right w:type="dxa" w:w="100"/>
            </w:tcMar>
          </w:tcPr>
          <w:p>
            <w:r>
              <w:rPr>
                <w:rFonts w:ascii="Times New Roman"/>
                <w:color w:val="1A1A1A"/>
                <w:sz w:val="20"/>
                <w:szCs w:val="20"/>
              </w:rPr>
              <w:t xml:space="preserve">Azure Cache Redis</w:t>
            </w:r>
          </w:p>
        </w:tc>
      </w:tr>
      <w:tr>
        <w:trPr>
          <w:cantSplit/>
        </w:trPr>
        <w:tc>
          <w:tcPr>
            <w:tcMar>
              <w:top w:type="dxa" w:w="50"/>
              <w:left w:type="dxa" w:w="100"/>
              <w:bottom w:type="dxa" w:w="50"/>
              <w:right w:type="dxa" w:w="100"/>
            </w:tcMar>
          </w:tcPr>
          <w:p>
            <w:r>
              <w:rPr>
                <w:rFonts w:ascii="Times New Roman"/>
                <w:color w:val="1A1A1A"/>
                <w:sz w:val="20"/>
                <w:szCs w:val="20"/>
              </w:rPr>
              <w:t xml:space="preserve">Message Queue</w:t>
            </w:r>
          </w:p>
        </w:tc>
        <w:tc>
          <w:tcPr>
            <w:tcMar>
              <w:top w:type="dxa" w:w="50"/>
              <w:left w:type="dxa" w:w="100"/>
              <w:bottom w:type="dxa" w:w="50"/>
              <w:right w:type="dxa" w:w="100"/>
            </w:tcMar>
          </w:tcPr>
          <w:p>
            <w:r>
              <w:rPr>
                <w:rFonts w:ascii="Times New Roman"/>
                <w:color w:val="1A1A1A"/>
                <w:sz w:val="20"/>
                <w:szCs w:val="20"/>
              </w:rPr>
              <w:t xml:space="preserve">MSK (Kafka)</w:t>
            </w:r>
          </w:p>
        </w:tc>
        <w:tc>
          <w:tcPr>
            <w:tcMar>
              <w:top w:type="dxa" w:w="50"/>
              <w:left w:type="dxa" w:w="100"/>
              <w:bottom w:type="dxa" w:w="50"/>
              <w:right w:type="dxa" w:w="100"/>
            </w:tcMar>
          </w:tcPr>
          <w:p>
            <w:r>
              <w:rPr>
                <w:rFonts w:ascii="Times New Roman"/>
                <w:color w:val="1A1A1A"/>
                <w:sz w:val="20"/>
                <w:szCs w:val="20"/>
              </w:rPr>
              <w:t xml:space="preserve">Pub/Sub + Kafka</w:t>
            </w:r>
          </w:p>
        </w:tc>
        <w:tc>
          <w:tcPr>
            <w:tcMar>
              <w:top w:type="dxa" w:w="50"/>
              <w:left w:type="dxa" w:w="100"/>
              <w:bottom w:type="dxa" w:w="50"/>
              <w:right w:type="dxa" w:w="100"/>
            </w:tcMar>
          </w:tcPr>
          <w:p>
            <w:r>
              <w:rPr>
                <w:rFonts w:ascii="Times New Roman"/>
                <w:color w:val="1A1A1A"/>
                <w:sz w:val="20"/>
                <w:szCs w:val="20"/>
              </w:rPr>
              <w:t xml:space="preserve">Event Hubs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Object Storage</w:t>
            </w:r>
          </w:p>
        </w:tc>
        <w:tc>
          <w:tcPr>
            <w:shd w:fill="EDF3F5" w:val="clear"/>
            <w:tcMar>
              <w:top w:type="dxa" w:w="50"/>
              <w:left w:type="dxa" w:w="100"/>
              <w:bottom w:type="dxa" w:w="50"/>
              <w:right w:type="dxa" w:w="100"/>
            </w:tcMar>
          </w:tcPr>
          <w:p>
            <w:r>
              <w:rPr>
                <w:rFonts w:ascii="Times New Roman"/>
                <w:color w:val="1A1A1A"/>
                <w:sz w:val="20"/>
                <w:szCs w:val="20"/>
              </w:rPr>
              <w:t xml:space="preserve">S3</w:t>
            </w:r>
          </w:p>
        </w:tc>
        <w:tc>
          <w:tcPr>
            <w:shd w:fill="EDF3F5" w:val="clear"/>
            <w:tcMar>
              <w:top w:type="dxa" w:w="50"/>
              <w:left w:type="dxa" w:w="100"/>
              <w:bottom w:type="dxa" w:w="50"/>
              <w:right w:type="dxa" w:w="100"/>
            </w:tcMar>
          </w:tcPr>
          <w:p>
            <w:r>
              <w:rPr>
                <w:rFonts w:ascii="Times New Roman"/>
                <w:color w:val="1A1A1A"/>
                <w:sz w:val="20"/>
                <w:szCs w:val="20"/>
              </w:rPr>
              <w:t xml:space="preserve">GCS</w:t>
            </w:r>
          </w:p>
        </w:tc>
        <w:tc>
          <w:tcPr>
            <w:shd w:fill="EDF3F5" w:val="clear"/>
            <w:tcMar>
              <w:top w:type="dxa" w:w="50"/>
              <w:left w:type="dxa" w:w="100"/>
              <w:bottom w:type="dxa" w:w="50"/>
              <w:right w:type="dxa" w:w="100"/>
            </w:tcMar>
          </w:tcPr>
          <w:p>
            <w:r>
              <w:rPr>
                <w:rFonts w:ascii="Times New Roman"/>
                <w:color w:val="1A1A1A"/>
                <w:sz w:val="20"/>
                <w:szCs w:val="20"/>
              </w:rPr>
              <w:t xml:space="preserve">Blob Storage</w:t>
            </w:r>
          </w:p>
        </w:tc>
      </w:tr>
      <w:tr>
        <w:trPr>
          <w:cantSplit/>
        </w:trPr>
        <w:tc>
          <w:tcPr>
            <w:tcMar>
              <w:top w:type="dxa" w:w="50"/>
              <w:left w:type="dxa" w:w="100"/>
              <w:bottom w:type="dxa" w:w="50"/>
              <w:right w:type="dxa" w:w="100"/>
            </w:tcMar>
          </w:tcPr>
          <w:p>
            <w:r>
              <w:rPr>
                <w:rFonts w:ascii="Times New Roman"/>
                <w:color w:val="1A1A1A"/>
                <w:sz w:val="20"/>
                <w:szCs w:val="20"/>
              </w:rPr>
              <w:t xml:space="preserve">DNS / CDN</w:t>
            </w:r>
          </w:p>
        </w:tc>
        <w:tc>
          <w:tcPr>
            <w:tcMar>
              <w:top w:type="dxa" w:w="50"/>
              <w:left w:type="dxa" w:w="100"/>
              <w:bottom w:type="dxa" w:w="50"/>
              <w:right w:type="dxa" w:w="100"/>
            </w:tcMar>
          </w:tcPr>
          <w:p>
            <w:r>
              <w:rPr>
                <w:rFonts w:ascii="Times New Roman"/>
                <w:color w:val="1A1A1A"/>
                <w:sz w:val="20"/>
                <w:szCs w:val="20"/>
              </w:rPr>
              <w:t xml:space="preserve">CloudFront + Route53</w:t>
            </w:r>
          </w:p>
        </w:tc>
        <w:tc>
          <w:tcPr>
            <w:tcMar>
              <w:top w:type="dxa" w:w="50"/>
              <w:left w:type="dxa" w:w="100"/>
              <w:bottom w:type="dxa" w:w="50"/>
              <w:right w:type="dxa" w:w="100"/>
            </w:tcMar>
          </w:tcPr>
          <w:p>
            <w:r>
              <w:rPr>
                <w:rFonts w:ascii="Times New Roman"/>
                <w:color w:val="1A1A1A"/>
                <w:sz w:val="20"/>
                <w:szCs w:val="20"/>
              </w:rPr>
              <w:t xml:space="preserve">Cloud CDN</w:t>
            </w:r>
          </w:p>
        </w:tc>
        <w:tc>
          <w:tcPr>
            <w:tcMar>
              <w:top w:type="dxa" w:w="50"/>
              <w:left w:type="dxa" w:w="100"/>
              <w:bottom w:type="dxa" w:w="50"/>
              <w:right w:type="dxa" w:w="100"/>
            </w:tcMar>
          </w:tcPr>
          <w:p>
            <w:r>
              <w:rPr>
                <w:rFonts w:ascii="Times New Roman"/>
                <w:color w:val="1A1A1A"/>
                <w:sz w:val="20"/>
                <w:szCs w:val="20"/>
              </w:rPr>
              <w:t xml:space="preserve">Front Door + DNS</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Secrets</w:t>
            </w:r>
          </w:p>
        </w:tc>
        <w:tc>
          <w:tcPr>
            <w:shd w:fill="EDF3F5" w:val="clear"/>
            <w:tcMar>
              <w:top w:type="dxa" w:w="50"/>
              <w:left w:type="dxa" w:w="100"/>
              <w:bottom w:type="dxa" w:w="50"/>
              <w:right w:type="dxa" w:w="100"/>
            </w:tcMar>
          </w:tcPr>
          <w:p>
            <w:r>
              <w:rPr>
                <w:rFonts w:ascii="Times New Roman"/>
                <w:color w:val="1A1A1A"/>
                <w:sz w:val="20"/>
                <w:szCs w:val="20"/>
              </w:rPr>
              <w:t xml:space="preserve">Secrets Manager</w:t>
            </w:r>
          </w:p>
        </w:tc>
        <w:tc>
          <w:tcPr>
            <w:shd w:fill="EDF3F5" w:val="clear"/>
            <w:tcMar>
              <w:top w:type="dxa" w:w="50"/>
              <w:left w:type="dxa" w:w="100"/>
              <w:bottom w:type="dxa" w:w="50"/>
              <w:right w:type="dxa" w:w="100"/>
            </w:tcMar>
          </w:tcPr>
          <w:p>
            <w:r>
              <w:rPr>
                <w:rFonts w:ascii="Times New Roman"/>
                <w:color w:val="1A1A1A"/>
                <w:sz w:val="20"/>
                <w:szCs w:val="20"/>
              </w:rPr>
              <w:t xml:space="preserve">Secret Manager</w:t>
            </w:r>
          </w:p>
        </w:tc>
        <w:tc>
          <w:tcPr>
            <w:shd w:fill="EDF3F5" w:val="clear"/>
            <w:tcMar>
              <w:top w:type="dxa" w:w="50"/>
              <w:left w:type="dxa" w:w="100"/>
              <w:bottom w:type="dxa" w:w="50"/>
              <w:right w:type="dxa" w:w="100"/>
            </w:tcMar>
          </w:tcPr>
          <w:p>
            <w:r>
              <w:rPr>
                <w:rFonts w:ascii="Times New Roman"/>
                <w:color w:val="1A1A1A"/>
                <w:sz w:val="20"/>
                <w:szCs w:val="20"/>
              </w:rPr>
              <w:t xml:space="preserve">Key Vault</w:t>
            </w:r>
          </w:p>
        </w:tc>
      </w:tr>
      <w:tr>
        <w:trPr>
          <w:cantSplit/>
        </w:trPr>
        <w:tc>
          <w:tcPr>
            <w:tcMar>
              <w:top w:type="dxa" w:w="50"/>
              <w:left w:type="dxa" w:w="100"/>
              <w:bottom w:type="dxa" w:w="50"/>
              <w:right w:type="dxa" w:w="100"/>
            </w:tcMar>
          </w:tcPr>
          <w:p>
            <w:r>
              <w:rPr>
                <w:rFonts w:ascii="Times New Roman"/>
                <w:color w:val="1A1A1A"/>
                <w:sz w:val="20"/>
                <w:szCs w:val="20"/>
              </w:rPr>
              <w:t xml:space="preserve">Monitoring</w:t>
            </w:r>
          </w:p>
        </w:tc>
        <w:tc>
          <w:tcPr>
            <w:tcMar>
              <w:top w:type="dxa" w:w="50"/>
              <w:left w:type="dxa" w:w="100"/>
              <w:bottom w:type="dxa" w:w="50"/>
              <w:right w:type="dxa" w:w="100"/>
            </w:tcMar>
          </w:tcPr>
          <w:p>
            <w:r>
              <w:rPr>
                <w:rFonts w:ascii="Times New Roman"/>
                <w:color w:val="1A1A1A"/>
                <w:sz w:val="20"/>
                <w:szCs w:val="20"/>
              </w:rPr>
              <w:t xml:space="preserve">CloudWatch + Grafana</w:t>
            </w:r>
          </w:p>
        </w:tc>
        <w:tc>
          <w:tcPr>
            <w:tcMar>
              <w:top w:type="dxa" w:w="50"/>
              <w:left w:type="dxa" w:w="100"/>
              <w:bottom w:type="dxa" w:w="50"/>
              <w:right w:type="dxa" w:w="100"/>
            </w:tcMar>
          </w:tcPr>
          <w:p>
            <w:r>
              <w:rPr>
                <w:rFonts w:ascii="Times New Roman"/>
                <w:color w:val="1A1A1A"/>
                <w:sz w:val="20"/>
                <w:szCs w:val="20"/>
              </w:rPr>
              <w:t xml:space="preserve">Cloud Monitoring</w:t>
            </w:r>
          </w:p>
        </w:tc>
        <w:tc>
          <w:tcPr>
            <w:tcMar>
              <w:top w:type="dxa" w:w="50"/>
              <w:left w:type="dxa" w:w="100"/>
              <w:bottom w:type="dxa" w:w="50"/>
              <w:right w:type="dxa" w:w="100"/>
            </w:tcMar>
          </w:tcPr>
          <w:p>
            <w:r>
              <w:rPr>
                <w:rFonts w:ascii="Times New Roman"/>
                <w:color w:val="1A1A1A"/>
                <w:sz w:val="20"/>
                <w:szCs w:val="20"/>
              </w:rPr>
              <w:t xml:space="preserve">Monitor + Grafana</w:t>
            </w:r>
          </w:p>
        </w:tc>
      </w:tr>
    </w:tbl>
    <w:p>
      <w:pPr>
        <w:pStyle w:val="Heading1"/>
        <w:spacing w:after="200" w:before="480" w:line="312"/>
      </w:pPr>
      <w:bookmarkStart w:id="100079" w:name="_Toc100079"/>
      <w:r>
        <w:rPr>
          <w:rFonts w:ascii="Times New Roman"/>
          <w:b/>
          <w:bCs/>
          <w:color w:val="0F2027"/>
          <w:sz w:val="36"/>
          <w:szCs w:val="36"/>
        </w:rPr>
        <w:t xml:space="preserve">Section 12: DevOps</w:t>
      </w:r>
      <w:bookmarkEnd w:id="100079"/>
    </w:p>
    <w:p>
      <w:pPr>
        <w:pStyle w:val="Heading2"/>
        <w:spacing w:after="160" w:before="360" w:line="312"/>
      </w:pPr>
      <w:bookmarkStart w:id="100080" w:name="_Toc100080"/>
      <w:r>
        <w:rPr>
          <w:rFonts w:ascii="Times New Roman"/>
          <w:b/>
          <w:bCs/>
          <w:color w:val="0F2027"/>
          <w:sz w:val="30"/>
          <w:szCs w:val="30"/>
        </w:rPr>
        <w:t xml:space="preserve">12.1 CI/CD Pipeline</w:t>
      </w:r>
      <w:bookmarkEnd w:id="100080"/>
    </w:p>
    <w:p>
      <w:pPr>
        <w:spacing w:after="120" w:line="312"/>
        <w:jc w:val="both"/>
      </w:pPr>
      <w:r>
        <w:rPr>
          <w:rFonts w:ascii="Times New Roman"/>
          <w:color w:val="1A1A1A"/>
          <w:sz w:val="22"/>
          <w:szCs w:val="22"/>
        </w:rPr>
        <w:t xml:space="preserve">The continuous integration and continuous deployment (CI/CD) pipeline is implemented using GitHub Actions (or GitLab CI) with a multi-stage pipeline approach. The pipeline stages include: (1) Code Quality: linting (ESLint, Pylint), static analysis (SonarQube), and dependency vulnerability scanning (Snyk, Dependabot). (2) Unit Tests: all unit tests must pass with minimum 80% code coverage. (3) Integration Tests: service-level integration tests with mocked dependencies. (4) Build: Docker image build with multi-stage builds, vulnerability scanning of the image (Trivy), and signing (Cosign/Notary). (5) Deploy to Staging: automatic deployment to staging environment, followed by automated end-to-end tests and smoke tests.</w:t>
      </w:r>
    </w:p>
    <w:p>
      <w:pPr>
        <w:spacing w:after="120" w:line="312"/>
        <w:jc w:val="both"/>
      </w:pPr>
      <w:r>
        <w:rPr>
          <w:rFonts w:ascii="Times New Roman"/>
          <w:color w:val="1A1A1A"/>
          <w:sz w:val="22"/>
          <w:szCs w:val="22"/>
        </w:rPr>
        <w:t xml:space="preserve">(6) Manual Approval: deployment to production requires manual approval from at least one team lead or on-call engineer. (7) Deploy to Production: canary deployment (5% traffic initially, monitored for 15 minutes, then gradual rollout to 25%, 50%, 100% over 1 hour). Rollback is automated: if error rates exceed 0.5% or latency P99 exceeds the threshold, the deployment is automatically rolled back. All deployments are tracked and auditable through the deployment dashboard.</w:t>
      </w:r>
    </w:p>
    <w:p>
      <w:pPr>
        <w:pStyle w:val="Heading2"/>
        <w:spacing w:after="160" w:before="360" w:line="312"/>
      </w:pPr>
      <w:bookmarkStart w:id="100081" w:name="_Toc100081"/>
      <w:r>
        <w:rPr>
          <w:rFonts w:ascii="Times New Roman"/>
          <w:b/>
          <w:bCs/>
          <w:color w:val="0F2027"/>
          <w:sz w:val="30"/>
          <w:szCs w:val="30"/>
        </w:rPr>
        <w:t xml:space="preserve">12.2 Git Strategy</w:t>
      </w:r>
      <w:bookmarkEnd w:id="100081"/>
    </w:p>
    <w:p>
      <w:pPr>
        <w:spacing w:after="120" w:line="312"/>
        <w:jc w:val="both"/>
      </w:pPr>
      <w:r>
        <w:rPr>
          <w:rFonts w:ascii="Times New Roman"/>
          <w:color w:val="1A1A1A"/>
          <w:sz w:val="22"/>
          <w:szCs w:val="22"/>
        </w:rPr>
        <w:t xml:space="preserve">The repository follows a trunk-based development model with short-lived feature branches. The main branch is always in a deployable state. Feature branches are created from main, worked on for a maximum of 2 days, and merged through pull requests with mandatory code review (at least 2 approvals). Release branches are created for production releases and are cherry-picked from main with hotfix branches for emergency fixes. The branching strategy is complemented by conventional commit messages that trigger automated semantic versioning.</w:t>
      </w:r>
    </w:p>
    <w:p>
      <w:pPr>
        <w:pStyle w:val="Heading2"/>
        <w:spacing w:after="160" w:before="360" w:line="312"/>
      </w:pPr>
      <w:bookmarkStart w:id="100082" w:name="_Toc100082"/>
      <w:r>
        <w:rPr>
          <w:rFonts w:ascii="Times New Roman"/>
          <w:b/>
          <w:bCs/>
          <w:color w:val="0F2027"/>
          <w:sz w:val="30"/>
          <w:szCs w:val="30"/>
        </w:rPr>
        <w:t xml:space="preserve">12.3 Monitoring, Logging, and Alerting</w:t>
      </w:r>
      <w:bookmarkEnd w:id="100082"/>
    </w:p>
    <w:p>
      <w:pPr>
        <w:spacing w:after="120" w:line="312"/>
        <w:jc w:val="both"/>
      </w:pPr>
      <w:r>
        <w:rPr>
          <w:rFonts w:ascii="Times New Roman"/>
          <w:color w:val="1A1A1A"/>
          <w:sz w:val="22"/>
          <w:szCs w:val="22"/>
        </w:rPr>
        <w:t xml:space="preserve">Monitoring uses a three-layer approach: infrastructure monitoring (Prometheus + Node Exporter for CPU, memory, disk, network metrics), application monitoring (custom Prometheus metrics for request rates, error rates, latencies, queue depths), and business monitoring (Grafana dashboards for trading volume, active users, deposit/withdrawal volumes, revenue). Logging uses the ELK stack (Elasticsearch, Logstash, Kibana) or equivalent (Fluentd + Grafana Loki) for centralized log aggregation with structured JSON logging, correlation IDs for request tracing across services, and log-based alerting.</w:t>
      </w:r>
    </w:p>
    <w:p>
      <w:pPr>
        <w:spacing w:after="120" w:line="312"/>
        <w:jc w:val="both"/>
      </w:pPr>
      <w:r>
        <w:rPr>
          <w:rFonts w:ascii="Times New Roman"/>
          <w:color w:val="1A1A1A"/>
          <w:sz w:val="22"/>
          <w:szCs w:val="22"/>
        </w:rPr>
        <w:t xml:space="preserve">Alerting is implemented through PagerDuty (or Opsgenie) with escalation policies that ensure 24/7 coverage. Alerts are classified by severity: P1 (critical, requires immediate response within 15 minutes - e.g., matching engine down, hot wallet compromise), P2 (high, response within 1 hour - e.g., deposit processing delays, API degradation), P3 (medium, response within 4 hours - e.g., increased error rates, performance degradation), P4 (low, response within 24 hours - e.g., non-critical service degradation). All alerts include runbooks with troubleshooting steps and resolution procedures.</w:t>
      </w:r>
    </w:p>
    <w:p>
      <w:pPr>
        <w:pStyle w:val="Heading2"/>
        <w:spacing w:after="160" w:before="360" w:line="312"/>
      </w:pPr>
      <w:bookmarkStart w:id="100083" w:name="_Toc100083"/>
      <w:r>
        <w:rPr>
          <w:rFonts w:ascii="Times New Roman"/>
          <w:b/>
          <w:bCs/>
          <w:color w:val="0F2027"/>
          <w:sz w:val="30"/>
          <w:szCs w:val="30"/>
        </w:rPr>
        <w:t xml:space="preserve">12.4 Disaster Recovery</w:t>
      </w:r>
      <w:bookmarkEnd w:id="100083"/>
    </w:p>
    <w:p>
      <w:pPr>
        <w:spacing w:after="120" w:line="312"/>
        <w:jc w:val="both"/>
      </w:pPr>
      <w:r>
        <w:rPr>
          <w:rFonts w:ascii="Times New Roman"/>
          <w:color w:val="1A1A1A"/>
          <w:sz w:val="22"/>
          <w:szCs w:val="22"/>
        </w:rPr>
        <w:t xml:space="preserve">The disaster recovery strategy implements active-passive multi-region failover. The primary region runs all production services; the secondary region maintains warm standby with scaled-down instances and up-to-date data replication (RPO &lt; 30 seconds for trading data, &lt; 5 minutes for analytics data). Failover is semi-automated: the DR system detects primary region failure through health checks, triggers an alert to the on-call team, and upon manual confirmation, executes the failover playbook which includes DNS failover (Route53 health-check-based routing), Kubernetes cluster activation, and database promotion.</w:t>
      </w:r>
    </w:p>
    <w:p>
      <w:pPr>
        <w:spacing w:after="120" w:line="312"/>
        <w:jc w:val="both"/>
      </w:pPr>
      <w:r>
        <w:rPr>
          <w:rFonts w:ascii="Times New Roman"/>
          <w:color w:val="1A1A1A"/>
          <w:sz w:val="22"/>
          <w:szCs w:val="22"/>
        </w:rPr>
        <w:t xml:space="preserve">Recovery Time Objective (RTO) targets: intra-region component failure &lt; 1 minute (Kubernetes rescheduling), full region failover &lt; 5 minutes (DNS + cluster activation). Recovery Point Objective (RPO) targets: zero data loss for intra-region synchronous replication; &lt; 30 seconds for cross-region asynchronous replication of trading data; &lt; 5 minutes for cross-region analytics data. DR drills are conducted quarterly to validate recovery procedures, with findings documented and action items tracked.</w:t>
      </w:r>
    </w:p>
    <w:p>
      <w:pPr>
        <w:pStyle w:val="Heading1"/>
        <w:spacing w:after="200" w:before="480" w:line="312"/>
      </w:pPr>
      <w:bookmarkStart w:id="100084" w:name="_Toc100084"/>
      <w:r>
        <w:rPr>
          <w:rFonts w:ascii="Times New Roman"/>
          <w:b/>
          <w:bCs/>
          <w:color w:val="0F2027"/>
          <w:sz w:val="36"/>
          <w:szCs w:val="36"/>
        </w:rPr>
        <w:t xml:space="preserve">Section 13: Scalability</w:t>
      </w:r>
      <w:bookmarkEnd w:id="100084"/>
    </w:p>
    <w:p>
      <w:pPr>
        <w:pStyle w:val="Heading2"/>
        <w:spacing w:after="160" w:before="360" w:line="312"/>
      </w:pPr>
      <w:bookmarkStart w:id="100085" w:name="_Toc100085"/>
      <w:r>
        <w:rPr>
          <w:rFonts w:ascii="Times New Roman"/>
          <w:b/>
          <w:bCs/>
          <w:color w:val="0F2027"/>
          <w:sz w:val="30"/>
          <w:szCs w:val="30"/>
        </w:rPr>
        <w:t xml:space="preserve">13.1 Scaling Targets</w:t>
      </w:r>
      <w:bookmarkEnd w:id="100085"/>
    </w:p>
    <w:p>
      <w:pPr>
        <w:spacing w:after="120" w:line="312"/>
        <w:jc w:val="both"/>
      </w:pPr>
      <w:r>
        <w:rPr>
          <w:rFonts w:ascii="Times New Roman"/>
          <w:color w:val="1A1A1A"/>
          <w:sz w:val="22"/>
          <w:szCs w:val="22"/>
        </w:rPr>
        <w:t xml:space="preserve">The platform is designed to scale to the following targets: 100 million registered users, 1 million concurrent active sessions, 1 million transactions per second (TPS) aggregate throughput across all trading pairs, 10 million WebSocket connections for real-time data streaming, 500,000 API requests per second across all API endpoints, and sub-10ms P99 latency for all synchronous API endpoints. These targets require careful architectural decisions at every layer, from the matching engine to the database to the network infrastructure.</w:t>
      </w:r>
    </w:p>
    <w:p>
      <w:pPr>
        <w:pStyle w:val="Heading2"/>
        <w:spacing w:after="160" w:before="360" w:line="312"/>
      </w:pPr>
      <w:bookmarkStart w:id="100086" w:name="_Toc100086"/>
      <w:r>
        <w:rPr>
          <w:rFonts w:ascii="Times New Roman"/>
          <w:b/>
          <w:bCs/>
          <w:color w:val="0F2027"/>
          <w:sz w:val="30"/>
          <w:szCs w:val="30"/>
        </w:rPr>
        <w:t xml:space="preserve">13.2 Horizontal Scaling Strategy</w:t>
      </w:r>
      <w:bookmarkEnd w:id="100086"/>
    </w:p>
    <w:p>
      <w:pPr>
        <w:spacing w:after="120" w:line="312"/>
        <w:jc w:val="both"/>
      </w:pPr>
      <w:r>
        <w:rPr>
          <w:rFonts w:ascii="Times New Roman"/>
          <w:color w:val="1A1A1A"/>
          <w:sz w:val="22"/>
          <w:szCs w:val="22"/>
        </w:rPr>
        <w:t xml:space="preserve">Stateless services (API Gateway, Authentication, User Service, Market Data API) scale horizontally through Kubernetes Horizontal Pod Autoscalers (HPA) based on CPU utilization, request rate, and custom metrics. Stateful services require more sophisticated scaling: the Matching Engine scales by partitioning trading pairs across instances (each instance handles a subset of pairs, with no cross-instance dependencies). The Order Book Service scales similarly, with each instance responsible for a specific set of trading pairs. The Wallet Service scales by sharding user accounts across database partitions using consistent hashing.</w:t>
      </w:r>
    </w:p>
    <w:p>
      <w:pPr>
        <w:spacing w:after="120" w:line="312"/>
        <w:jc w:val="both"/>
      </w:pPr>
      <w:r>
        <w:rPr>
          <w:rFonts w:ascii="Times New Roman"/>
          <w:color w:val="1A1A1A"/>
          <w:sz w:val="22"/>
          <w:szCs w:val="22"/>
        </w:rPr>
        <w:t xml:space="preserve">Kafka scales by increasing partition count for high-throughput topics (trade events, market data events) and distributing consumer groups across multiple instances. Redis scales through Redis Cluster with automatic data sharding and failover. PostgreSQL scales through connection pooling (PgBouncer), read replicas for query offloading, and partitioning for large tables. ClickHouse scales through its distributed engine, spreading data across multiple shards with replication for fault tolerance.</w:t>
      </w:r>
    </w:p>
    <w:p>
      <w:pPr>
        <w:pStyle w:val="Heading2"/>
        <w:spacing w:after="160" w:before="360" w:line="312"/>
      </w:pPr>
      <w:bookmarkStart w:id="100087" w:name="_Toc100087"/>
      <w:r>
        <w:rPr>
          <w:rFonts w:ascii="Times New Roman"/>
          <w:b/>
          <w:bCs/>
          <w:color w:val="0F2027"/>
          <w:sz w:val="30"/>
          <w:szCs w:val="30"/>
        </w:rPr>
        <w:t xml:space="preserve">13.3 Caching Strategy</w:t>
      </w:r>
      <w:bookmarkEnd w:id="100087"/>
    </w:p>
    <w:p>
      <w:pPr>
        <w:spacing w:after="120" w:line="312"/>
        <w:jc w:val="both"/>
      </w:pPr>
      <w:r>
        <w:rPr>
          <w:rFonts w:ascii="Times New Roman"/>
          <w:color w:val="1A1A1A"/>
          <w:sz w:val="22"/>
          <w:szCs w:val="22"/>
        </w:rPr>
        <w:t xml:space="preserve">A multi-level caching strategy minimizes database load and reduces response latency. Level 1 (L1) cache is in-process (Caffeine or equivalent) with a capacity of 10,000 entries and a 5-second TTL, used for frequently accessed read-only data (configuration, market metadata). Level 2 (L2) cache is Redis Cluster with a configurable TTL per data type: user balances are cached for 1 second (consistency-critical), market data snapshots for 100ms, session data for the session lifetime, and reference data (asset lists, trading rules) for 1 hour. Level 3 (L3) is the database itself with read replicas for analytical queries.</w:t>
      </w:r>
    </w:p>
    <w:p>
      <w:pPr>
        <w:spacing w:after="120" w:line="312"/>
        <w:jc w:val="both"/>
      </w:pPr>
      <w:r>
        <w:rPr>
          <w:rFonts w:ascii="Times New Roman"/>
          <w:color w:val="1A1A1A"/>
          <w:sz w:val="22"/>
          <w:szCs w:val="22"/>
        </w:rPr>
        <w:t xml:space="preserve">Cache invalidation follows a write-through strategy for critical data (user balances are updated in the cache immediately upon trade execution) and a time-based expiration strategy for less critical data. Cache coherence for distributed caches is maintained through Redis Pub/Sub notifications: when a cache entry is updated in one node, it publishes an invalidation message to all other nodes subscribed to that key space. This ensures that all API servers see consistent data within milliseconds of an update.</w:t>
      </w:r>
    </w:p>
    <w:p>
      <w:pPr>
        <w:keepNext/>
        <w:spacing w:after="80" w:before="200" w:line="312"/>
      </w:pPr>
      <w:r>
        <w:rPr>
          <w:rFonts w:ascii="Times New Roman"/>
          <w:b/>
          <w:bCs/>
          <w:i/>
          <w:iCs/>
          <w:color w:val="4A6575"/>
          <w:sz w:val="20"/>
          <w:szCs w:val="20"/>
        </w:rPr>
        <w:t xml:space="preserve">Table 13.1: Scaling Strategy by Component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Component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Scaling Method</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Max Scale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Bottleneck</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Matching Engine</w:t>
            </w:r>
          </w:p>
        </w:tc>
        <w:tc>
          <w:tcPr>
            <w:shd w:fill="EDF3F5" w:val="clear"/>
            <w:tcMar>
              <w:top w:type="dxa" w:w="50"/>
              <w:left w:type="dxa" w:w="100"/>
              <w:bottom w:type="dxa" w:w="50"/>
              <w:right w:type="dxa" w:w="100"/>
            </w:tcMar>
          </w:tcPr>
          <w:p>
            <w:r>
              <w:rPr>
                <w:rFonts w:ascii="Times New Roman"/>
                <w:color w:val="1A1A1A"/>
                <w:sz w:val="20"/>
                <w:szCs w:val="20"/>
              </w:rPr>
              <w:t xml:space="preserve">Per-pair partitioning</w:t>
            </w:r>
          </w:p>
        </w:tc>
        <w:tc>
          <w:tcPr>
            <w:shd w:fill="EDF3F5" w:val="clear"/>
            <w:tcMar>
              <w:top w:type="dxa" w:w="50"/>
              <w:left w:type="dxa" w:w="100"/>
              <w:bottom w:type="dxa" w:w="50"/>
              <w:right w:type="dxa" w:w="100"/>
            </w:tcMar>
          </w:tcPr>
          <w:p>
            <w:r>
              <w:rPr>
                <w:rFonts w:ascii="Times New Roman"/>
                <w:color w:val="1A1A1A"/>
                <w:sz w:val="20"/>
                <w:szCs w:val="20"/>
              </w:rPr>
              <w:t xml:space="preserve">1000+ instances</w:t>
            </w:r>
          </w:p>
        </w:tc>
        <w:tc>
          <w:tcPr>
            <w:shd w:fill="EDF3F5" w:val="clear"/>
            <w:tcMar>
              <w:top w:type="dxa" w:w="50"/>
              <w:left w:type="dxa" w:w="100"/>
              <w:bottom w:type="dxa" w:w="50"/>
              <w:right w:type="dxa" w:w="100"/>
            </w:tcMar>
          </w:tcPr>
          <w:p>
            <w:r>
              <w:rPr>
                <w:rFonts w:ascii="Times New Roman"/>
                <w:color w:val="1A1A1A"/>
                <w:sz w:val="20"/>
                <w:szCs w:val="20"/>
              </w:rPr>
              <w:t xml:space="preserve">Network bandwidth</w:t>
            </w:r>
          </w:p>
        </w:tc>
      </w:tr>
      <w:tr>
        <w:trPr>
          <w:cantSplit/>
        </w:trPr>
        <w:tc>
          <w:tcPr>
            <w:tcMar>
              <w:top w:type="dxa" w:w="50"/>
              <w:left w:type="dxa" w:w="100"/>
              <w:bottom w:type="dxa" w:w="50"/>
              <w:right w:type="dxa" w:w="100"/>
            </w:tcMar>
          </w:tcPr>
          <w:p>
            <w:r>
              <w:rPr>
                <w:rFonts w:ascii="Times New Roman"/>
                <w:color w:val="1A1A1A"/>
                <w:sz w:val="20"/>
                <w:szCs w:val="20"/>
              </w:rPr>
              <w:t xml:space="preserve">API Gateway</w:t>
            </w:r>
          </w:p>
        </w:tc>
        <w:tc>
          <w:tcPr>
            <w:tcMar>
              <w:top w:type="dxa" w:w="50"/>
              <w:left w:type="dxa" w:w="100"/>
              <w:bottom w:type="dxa" w:w="50"/>
              <w:right w:type="dxa" w:w="100"/>
            </w:tcMar>
          </w:tcPr>
          <w:p>
            <w:r>
              <w:rPr>
                <w:rFonts w:ascii="Times New Roman"/>
                <w:color w:val="1A1A1A"/>
                <w:sz w:val="20"/>
                <w:szCs w:val="20"/>
              </w:rPr>
              <w:t xml:space="preserve">Horizontal (HPA)</w:t>
            </w:r>
          </w:p>
        </w:tc>
        <w:tc>
          <w:tcPr>
            <w:tcMar>
              <w:top w:type="dxa" w:w="50"/>
              <w:left w:type="dxa" w:w="100"/>
              <w:bottom w:type="dxa" w:w="50"/>
              <w:right w:type="dxa" w:w="100"/>
            </w:tcMar>
          </w:tcPr>
          <w:p>
            <w:r>
              <w:rPr>
                <w:rFonts w:ascii="Times New Roman"/>
                <w:color w:val="1A1A1A"/>
                <w:sz w:val="20"/>
                <w:szCs w:val="20"/>
              </w:rPr>
              <w:t xml:space="preserve">500+ instances</w:t>
            </w:r>
          </w:p>
        </w:tc>
        <w:tc>
          <w:tcPr>
            <w:tcMar>
              <w:top w:type="dxa" w:w="50"/>
              <w:left w:type="dxa" w:w="100"/>
              <w:bottom w:type="dxa" w:w="50"/>
              <w:right w:type="dxa" w:w="100"/>
            </w:tcMar>
          </w:tcPr>
          <w:p>
            <w:r>
              <w:rPr>
                <w:rFonts w:ascii="Times New Roman"/>
                <w:color w:val="1A1A1A"/>
                <w:sz w:val="20"/>
                <w:szCs w:val="20"/>
              </w:rPr>
              <w:t xml:space="preserve">L4 load balancer</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User Service</w:t>
            </w:r>
          </w:p>
        </w:tc>
        <w:tc>
          <w:tcPr>
            <w:shd w:fill="EDF3F5" w:val="clear"/>
            <w:tcMar>
              <w:top w:type="dxa" w:w="50"/>
              <w:left w:type="dxa" w:w="100"/>
              <w:bottom w:type="dxa" w:w="50"/>
              <w:right w:type="dxa" w:w="100"/>
            </w:tcMar>
          </w:tcPr>
          <w:p>
            <w:r>
              <w:rPr>
                <w:rFonts w:ascii="Times New Roman"/>
                <w:color w:val="1A1A1A"/>
                <w:sz w:val="20"/>
                <w:szCs w:val="20"/>
              </w:rPr>
              <w:t xml:space="preserve">Horizontal (HPA)</w:t>
            </w:r>
          </w:p>
        </w:tc>
        <w:tc>
          <w:tcPr>
            <w:shd w:fill="EDF3F5" w:val="clear"/>
            <w:tcMar>
              <w:top w:type="dxa" w:w="50"/>
              <w:left w:type="dxa" w:w="100"/>
              <w:bottom w:type="dxa" w:w="50"/>
              <w:right w:type="dxa" w:w="100"/>
            </w:tcMar>
          </w:tcPr>
          <w:p>
            <w:r>
              <w:rPr>
                <w:rFonts w:ascii="Times New Roman"/>
                <w:color w:val="1A1A1A"/>
                <w:sz w:val="20"/>
                <w:szCs w:val="20"/>
              </w:rPr>
              <w:t xml:space="preserve">200+ instances</w:t>
            </w:r>
          </w:p>
        </w:tc>
        <w:tc>
          <w:tcPr>
            <w:shd w:fill="EDF3F5" w:val="clear"/>
            <w:tcMar>
              <w:top w:type="dxa" w:w="50"/>
              <w:left w:type="dxa" w:w="100"/>
              <w:bottom w:type="dxa" w:w="50"/>
              <w:right w:type="dxa" w:w="100"/>
            </w:tcMar>
          </w:tcPr>
          <w:p>
            <w:r>
              <w:rPr>
                <w:rFonts w:ascii="Times New Roman"/>
                <w:color w:val="1A1A1A"/>
                <w:sz w:val="20"/>
                <w:szCs w:val="20"/>
              </w:rPr>
              <w:t xml:space="preserve">Database connections</w:t>
            </w:r>
          </w:p>
        </w:tc>
      </w:tr>
      <w:tr>
        <w:trPr>
          <w:cantSplit/>
        </w:trPr>
        <w:tc>
          <w:tcPr>
            <w:tcMar>
              <w:top w:type="dxa" w:w="50"/>
              <w:left w:type="dxa" w:w="100"/>
              <w:bottom w:type="dxa" w:w="50"/>
              <w:right w:type="dxa" w:w="100"/>
            </w:tcMar>
          </w:tcPr>
          <w:p>
            <w:r>
              <w:rPr>
                <w:rFonts w:ascii="Times New Roman"/>
                <w:color w:val="1A1A1A"/>
                <w:sz w:val="20"/>
                <w:szCs w:val="20"/>
              </w:rPr>
              <w:t xml:space="preserve">Wallet Service</w:t>
            </w:r>
          </w:p>
        </w:tc>
        <w:tc>
          <w:tcPr>
            <w:tcMar>
              <w:top w:type="dxa" w:w="50"/>
              <w:left w:type="dxa" w:w="100"/>
              <w:bottom w:type="dxa" w:w="50"/>
              <w:right w:type="dxa" w:w="100"/>
            </w:tcMar>
          </w:tcPr>
          <w:p>
            <w:r>
              <w:rPr>
                <w:rFonts w:ascii="Times New Roman"/>
                <w:color w:val="1A1A1A"/>
                <w:sz w:val="20"/>
                <w:szCs w:val="20"/>
              </w:rPr>
              <w:t xml:space="preserve">Horizontal + DB sharding</w:t>
            </w:r>
          </w:p>
        </w:tc>
        <w:tc>
          <w:tcPr>
            <w:tcMar>
              <w:top w:type="dxa" w:w="50"/>
              <w:left w:type="dxa" w:w="100"/>
              <w:bottom w:type="dxa" w:w="50"/>
              <w:right w:type="dxa" w:w="100"/>
            </w:tcMar>
          </w:tcPr>
          <w:p>
            <w:r>
              <w:rPr>
                <w:rFonts w:ascii="Times New Roman"/>
                <w:color w:val="1A1A1A"/>
                <w:sz w:val="20"/>
                <w:szCs w:val="20"/>
              </w:rPr>
              <w:t xml:space="preserve">100+ instances</w:t>
            </w:r>
          </w:p>
        </w:tc>
        <w:tc>
          <w:tcPr>
            <w:tcMar>
              <w:top w:type="dxa" w:w="50"/>
              <w:left w:type="dxa" w:w="100"/>
              <w:bottom w:type="dxa" w:w="50"/>
              <w:right w:type="dxa" w:w="100"/>
            </w:tcMar>
          </w:tcPr>
          <w:p>
            <w:r>
              <w:rPr>
                <w:rFonts w:ascii="Times New Roman"/>
                <w:color w:val="1A1A1A"/>
                <w:sz w:val="20"/>
                <w:szCs w:val="20"/>
              </w:rPr>
              <w:t xml:space="preserve">DB write throughput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Market Data WS</w:t>
            </w:r>
          </w:p>
        </w:tc>
        <w:tc>
          <w:tcPr>
            <w:shd w:fill="EDF3F5" w:val="clear"/>
            <w:tcMar>
              <w:top w:type="dxa" w:w="50"/>
              <w:left w:type="dxa" w:w="100"/>
              <w:bottom w:type="dxa" w:w="50"/>
              <w:right w:type="dxa" w:w="100"/>
            </w:tcMar>
          </w:tcPr>
          <w:p>
            <w:r>
              <w:rPr>
                <w:rFonts w:ascii="Times New Roman"/>
                <w:color w:val="1A1A1A"/>
                <w:sz w:val="20"/>
                <w:szCs w:val="20"/>
              </w:rPr>
              <w:t xml:space="preserve">Horizontal (per-pair)</w:t>
            </w:r>
          </w:p>
        </w:tc>
        <w:tc>
          <w:tcPr>
            <w:shd w:fill="EDF3F5" w:val="clear"/>
            <w:tcMar>
              <w:top w:type="dxa" w:w="50"/>
              <w:left w:type="dxa" w:w="100"/>
              <w:bottom w:type="dxa" w:w="50"/>
              <w:right w:type="dxa" w:w="100"/>
            </w:tcMar>
          </w:tcPr>
          <w:p>
            <w:r>
              <w:rPr>
                <w:rFonts w:ascii="Times New Roman"/>
                <w:color w:val="1A1A1A"/>
                <w:sz w:val="20"/>
                <w:szCs w:val="20"/>
              </w:rPr>
              <w:t xml:space="preserve">1000+ instances</w:t>
            </w:r>
          </w:p>
        </w:tc>
        <w:tc>
          <w:tcPr>
            <w:shd w:fill="EDF3F5" w:val="clear"/>
            <w:tcMar>
              <w:top w:type="dxa" w:w="50"/>
              <w:left w:type="dxa" w:w="100"/>
              <w:bottom w:type="dxa" w:w="50"/>
              <w:right w:type="dxa" w:w="100"/>
            </w:tcMar>
          </w:tcPr>
          <w:p>
            <w:r>
              <w:rPr>
                <w:rFonts w:ascii="Times New Roman"/>
                <w:color w:val="1A1A1A"/>
                <w:sz w:val="20"/>
                <w:szCs w:val="20"/>
              </w:rPr>
              <w:t xml:space="preserve">Kafka throughput</w:t>
            </w:r>
          </w:p>
        </w:tc>
      </w:tr>
      <w:tr>
        <w:trPr>
          <w:cantSplit/>
        </w:trPr>
        <w:tc>
          <w:tcPr>
            <w:tcMar>
              <w:top w:type="dxa" w:w="50"/>
              <w:left w:type="dxa" w:w="100"/>
              <w:bottom w:type="dxa" w:w="50"/>
              <w:right w:type="dxa" w:w="100"/>
            </w:tcMar>
          </w:tcPr>
          <w:p>
            <w:r>
              <w:rPr>
                <w:rFonts w:ascii="Times New Roman"/>
                <w:color w:val="1A1A1A"/>
                <w:sz w:val="20"/>
                <w:szCs w:val="20"/>
              </w:rPr>
              <w:t xml:space="preserve">Redis Cache</w:t>
            </w:r>
          </w:p>
        </w:tc>
        <w:tc>
          <w:tcPr>
            <w:tcMar>
              <w:top w:type="dxa" w:w="50"/>
              <w:left w:type="dxa" w:w="100"/>
              <w:bottom w:type="dxa" w:w="50"/>
              <w:right w:type="dxa" w:w="100"/>
            </w:tcMar>
          </w:tcPr>
          <w:p>
            <w:r>
              <w:rPr>
                <w:rFonts w:ascii="Times New Roman"/>
                <w:color w:val="1A1A1A"/>
                <w:sz w:val="20"/>
                <w:szCs w:val="20"/>
              </w:rPr>
              <w:t xml:space="preserve">Cluster (auto-sharding)</w:t>
            </w:r>
          </w:p>
        </w:tc>
        <w:tc>
          <w:tcPr>
            <w:tcMar>
              <w:top w:type="dxa" w:w="50"/>
              <w:left w:type="dxa" w:w="100"/>
              <w:bottom w:type="dxa" w:w="50"/>
              <w:right w:type="dxa" w:w="100"/>
            </w:tcMar>
          </w:tcPr>
          <w:p>
            <w:r>
              <w:rPr>
                <w:rFonts w:ascii="Times New Roman"/>
                <w:color w:val="1A1A1A"/>
                <w:sz w:val="20"/>
                <w:szCs w:val="20"/>
              </w:rPr>
              <w:t xml:space="preserve">100+ nodes</w:t>
            </w:r>
          </w:p>
        </w:tc>
        <w:tc>
          <w:tcPr>
            <w:tcMar>
              <w:top w:type="dxa" w:w="50"/>
              <w:left w:type="dxa" w:w="100"/>
              <w:bottom w:type="dxa" w:w="50"/>
              <w:right w:type="dxa" w:w="100"/>
            </w:tcMar>
          </w:tcPr>
          <w:p>
            <w:r>
              <w:rPr>
                <w:rFonts w:ascii="Times New Roman"/>
                <w:color w:val="1A1A1A"/>
                <w:sz w:val="20"/>
                <w:szCs w:val="20"/>
              </w:rPr>
              <w:t xml:space="preserve">Memory capacity</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Kafka</w:t>
            </w:r>
          </w:p>
        </w:tc>
        <w:tc>
          <w:tcPr>
            <w:shd w:fill="EDF3F5" w:val="clear"/>
            <w:tcMar>
              <w:top w:type="dxa" w:w="50"/>
              <w:left w:type="dxa" w:w="100"/>
              <w:bottom w:type="dxa" w:w="50"/>
              <w:right w:type="dxa" w:w="100"/>
            </w:tcMar>
          </w:tcPr>
          <w:p>
            <w:r>
              <w:rPr>
                <w:rFonts w:ascii="Times New Roman"/>
                <w:color w:val="1A1A1A"/>
                <w:sz w:val="20"/>
                <w:szCs w:val="20"/>
              </w:rPr>
              <w:t xml:space="preserve">Partition increase</w:t>
            </w:r>
          </w:p>
        </w:tc>
        <w:tc>
          <w:tcPr>
            <w:shd w:fill="EDF3F5" w:val="clear"/>
            <w:tcMar>
              <w:top w:type="dxa" w:w="50"/>
              <w:left w:type="dxa" w:w="100"/>
              <w:bottom w:type="dxa" w:w="50"/>
              <w:right w:type="dxa" w:w="100"/>
            </w:tcMar>
          </w:tcPr>
          <w:p>
            <w:r>
              <w:rPr>
                <w:rFonts w:ascii="Times New Roman"/>
                <w:color w:val="1A1A1A"/>
                <w:sz w:val="20"/>
                <w:szCs w:val="20"/>
              </w:rPr>
              <w:t xml:space="preserve">50+ brokers</w:t>
            </w:r>
          </w:p>
        </w:tc>
        <w:tc>
          <w:tcPr>
            <w:shd w:fill="EDF3F5" w:val="clear"/>
            <w:tcMar>
              <w:top w:type="dxa" w:w="50"/>
              <w:left w:type="dxa" w:w="100"/>
              <w:bottom w:type="dxa" w:w="50"/>
              <w:right w:type="dxa" w:w="100"/>
            </w:tcMar>
          </w:tcPr>
          <w:p>
            <w:r>
              <w:rPr>
                <w:rFonts w:ascii="Times New Roman"/>
                <w:color w:val="1A1A1A"/>
                <w:sz w:val="20"/>
                <w:szCs w:val="20"/>
              </w:rPr>
              <w:t xml:space="preserve">Disk I/O</w:t>
            </w:r>
          </w:p>
        </w:tc>
      </w:tr>
      <w:tr>
        <w:trPr>
          <w:cantSplit/>
        </w:trPr>
        <w:tc>
          <w:tcPr>
            <w:tcMar>
              <w:top w:type="dxa" w:w="50"/>
              <w:left w:type="dxa" w:w="100"/>
              <w:bottom w:type="dxa" w:w="50"/>
              <w:right w:type="dxa" w:w="100"/>
            </w:tcMar>
          </w:tcPr>
          <w:p>
            <w:r>
              <w:rPr>
                <w:rFonts w:ascii="Times New Roman"/>
                <w:color w:val="1A1A1A"/>
                <w:sz w:val="20"/>
                <w:szCs w:val="20"/>
              </w:rPr>
              <w:t xml:space="preserve">PostgreSQL</w:t>
            </w:r>
          </w:p>
        </w:tc>
        <w:tc>
          <w:tcPr>
            <w:tcMar>
              <w:top w:type="dxa" w:w="50"/>
              <w:left w:type="dxa" w:w="100"/>
              <w:bottom w:type="dxa" w:w="50"/>
              <w:right w:type="dxa" w:w="100"/>
            </w:tcMar>
          </w:tcPr>
          <w:p>
            <w:r>
              <w:rPr>
                <w:rFonts w:ascii="Times New Roman"/>
                <w:color w:val="1A1A1A"/>
                <w:sz w:val="20"/>
                <w:szCs w:val="20"/>
              </w:rPr>
              <w:t xml:space="preserve">Read replicas + partitioning</w:t>
            </w:r>
          </w:p>
        </w:tc>
        <w:tc>
          <w:tcPr>
            <w:tcMar>
              <w:top w:type="dxa" w:w="50"/>
              <w:left w:type="dxa" w:w="100"/>
              <w:bottom w:type="dxa" w:w="50"/>
              <w:right w:type="dxa" w:w="100"/>
            </w:tcMar>
          </w:tcPr>
          <w:p>
            <w:r>
              <w:rPr>
                <w:rFonts w:ascii="Times New Roman"/>
                <w:color w:val="1A1A1A"/>
                <w:sz w:val="20"/>
                <w:szCs w:val="20"/>
              </w:rPr>
              <w:t xml:space="preserve">1 primary + 15 replicas</w:t>
            </w:r>
          </w:p>
        </w:tc>
        <w:tc>
          <w:tcPr>
            <w:tcMar>
              <w:top w:type="dxa" w:w="50"/>
              <w:left w:type="dxa" w:w="100"/>
              <w:bottom w:type="dxa" w:w="50"/>
              <w:right w:type="dxa" w:w="100"/>
            </w:tcMar>
          </w:tcPr>
          <w:p>
            <w:r>
              <w:rPr>
                <w:rFonts w:ascii="Times New Roman"/>
                <w:color w:val="1A1A1A"/>
                <w:sz w:val="20"/>
                <w:szCs w:val="20"/>
              </w:rPr>
              <w:t xml:space="preserve">Write IOPS</w:t>
            </w:r>
          </w:p>
        </w:tc>
      </w:tr>
    </w:tbl>
    <w:p>
      <w:pPr>
        <w:pStyle w:val="Heading1"/>
        <w:spacing w:after="200" w:before="480" w:line="312"/>
      </w:pPr>
      <w:bookmarkStart w:id="100088" w:name="_Toc100088"/>
      <w:r>
        <w:rPr>
          <w:rFonts w:ascii="Times New Roman"/>
          <w:b/>
          <w:bCs/>
          <w:color w:val="0F2027"/>
          <w:sz w:val="36"/>
          <w:szCs w:val="36"/>
        </w:rPr>
        <w:t xml:space="preserve">Section 14: APIs</w:t>
      </w:r>
      <w:bookmarkEnd w:id="100088"/>
    </w:p>
    <w:p>
      <w:pPr>
        <w:pStyle w:val="Heading2"/>
        <w:spacing w:after="160" w:before="360" w:line="312"/>
      </w:pPr>
      <w:bookmarkStart w:id="100089" w:name="_Toc100089"/>
      <w:r>
        <w:rPr>
          <w:rFonts w:ascii="Times New Roman"/>
          <w:b/>
          <w:bCs/>
          <w:color w:val="0F2027"/>
          <w:sz w:val="30"/>
          <w:szCs w:val="30"/>
        </w:rPr>
        <w:t xml:space="preserve">14.1 REST API Overview</w:t>
      </w:r>
      <w:bookmarkEnd w:id="100089"/>
    </w:p>
    <w:p>
      <w:pPr>
        <w:spacing w:after="120" w:line="312"/>
        <w:jc w:val="both"/>
      </w:pPr>
      <w:r>
        <w:rPr>
          <w:rFonts w:ascii="Times New Roman"/>
          <w:color w:val="1A1A1A"/>
          <w:sz w:val="22"/>
          <w:szCs w:val="22"/>
        </w:rPr>
        <w:t xml:space="preserve">The REST API is the primary interface for client applications, third-party integrations, and programmatic access to the exchange. All endpoints are versioned (e.g., /api/v3/) with backward compatibility guarantees for minor versions. Authentication supports two methods: HMAC-SHA256 signed requests (for server-side applications) and JWT Bearer tokens (for web and mobile applications). API keys consist of a public key (used as the identifier) and a secret key (used for signing). Each API key can be restricted by IP address, by permission set (read-only, trading, withdrawal), and by rate limit tier.</w:t>
      </w:r>
    </w:p>
    <w:p>
      <w:pPr>
        <w:keepNext/>
        <w:spacing w:after="80" w:before="200" w:line="312"/>
      </w:pPr>
      <w:r>
        <w:rPr>
          <w:rFonts w:ascii="Times New Roman"/>
          <w:b/>
          <w:bCs/>
          <w:i/>
          <w:iCs/>
          <w:color w:val="4A6575"/>
          <w:sz w:val="20"/>
          <w:szCs w:val="20"/>
        </w:rPr>
        <w:t xml:space="preserve">Table 14.1: Key REST API Endpoints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Endpoint</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Method</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Description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Auth Required</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/api/v3/account</w:t>
            </w:r>
          </w:p>
        </w:tc>
        <w:tc>
          <w:tcPr>
            <w:shd w:fill="EDF3F5" w:val="clear"/>
            <w:tcMar>
              <w:top w:type="dxa" w:w="50"/>
              <w:left w:type="dxa" w:w="100"/>
              <w:bottom w:type="dxa" w:w="50"/>
              <w:right w:type="dxa" w:w="100"/>
            </w:tcMar>
          </w:tcPr>
          <w:p>
            <w:r>
              <w:rPr>
                <w:rFonts w:ascii="Times New Roman"/>
                <w:color w:val="1A1A1A"/>
                <w:sz w:val="20"/>
                <w:szCs w:val="20"/>
              </w:rPr>
              <w:t xml:space="preserve">GET</w:t>
            </w:r>
          </w:p>
        </w:tc>
        <w:tc>
          <w:tcPr>
            <w:shd w:fill="EDF3F5" w:val="clear"/>
            <w:tcMar>
              <w:top w:type="dxa" w:w="50"/>
              <w:left w:type="dxa" w:w="100"/>
              <w:bottom w:type="dxa" w:w="50"/>
              <w:right w:type="dxa" w:w="100"/>
            </w:tcMar>
          </w:tcPr>
          <w:p>
            <w:r>
              <w:rPr>
                <w:rFonts w:ascii="Times New Roman"/>
                <w:color w:val="1A1A1A"/>
                <w:sz w:val="20"/>
                <w:szCs w:val="20"/>
              </w:rPr>
              <w:t xml:space="preserve">Get account balances</w:t>
            </w:r>
          </w:p>
        </w:tc>
        <w:tc>
          <w:tcPr>
            <w:shd w:fill="EDF3F5" w:val="clear"/>
            <w:tcMar>
              <w:top w:type="dxa" w:w="50"/>
              <w:left w:type="dxa" w:w="100"/>
              <w:bottom w:type="dxa" w:w="50"/>
              <w:right w:type="dxa" w:w="100"/>
            </w:tcMar>
          </w:tcPr>
          <w:p>
            <w:r>
              <w:rPr>
                <w:rFonts w:ascii="Times New Roman"/>
                <w:color w:val="1A1A1A"/>
                <w:sz w:val="20"/>
                <w:szCs w:val="20"/>
              </w:rPr>
              <w:t xml:space="preserve">Yes (Read)</w:t>
            </w:r>
          </w:p>
        </w:tc>
      </w:tr>
      <w:tr>
        <w:trPr>
          <w:cantSplit/>
        </w:trPr>
        <w:tc>
          <w:tcPr>
            <w:tcMar>
              <w:top w:type="dxa" w:w="50"/>
              <w:left w:type="dxa" w:w="100"/>
              <w:bottom w:type="dxa" w:w="50"/>
              <w:right w:type="dxa" w:w="100"/>
            </w:tcMar>
          </w:tcPr>
          <w:p>
            <w:r>
              <w:rPr>
                <w:rFonts w:ascii="Times New Roman"/>
                <w:color w:val="1A1A1A"/>
                <w:sz w:val="20"/>
                <w:szCs w:val="20"/>
              </w:rPr>
              <w:t xml:space="preserve">/api/v3/order</w:t>
            </w:r>
          </w:p>
        </w:tc>
        <w:tc>
          <w:tcPr>
            <w:tcMar>
              <w:top w:type="dxa" w:w="50"/>
              <w:left w:type="dxa" w:w="100"/>
              <w:bottom w:type="dxa" w:w="50"/>
              <w:right w:type="dxa" w:w="100"/>
            </w:tcMar>
          </w:tcPr>
          <w:p>
            <w:r>
              <w:rPr>
                <w:rFonts w:ascii="Times New Roman"/>
                <w:color w:val="1A1A1A"/>
                <w:sz w:val="20"/>
                <w:szCs w:val="20"/>
              </w:rPr>
              <w:t xml:space="preserve">POST</w:t>
            </w:r>
          </w:p>
        </w:tc>
        <w:tc>
          <w:tcPr>
            <w:tcMar>
              <w:top w:type="dxa" w:w="50"/>
              <w:left w:type="dxa" w:w="100"/>
              <w:bottom w:type="dxa" w:w="50"/>
              <w:right w:type="dxa" w:w="100"/>
            </w:tcMar>
          </w:tcPr>
          <w:p>
            <w:r>
              <w:rPr>
                <w:rFonts w:ascii="Times New Roman"/>
                <w:color w:val="1A1A1A"/>
                <w:sz w:val="20"/>
                <w:szCs w:val="20"/>
              </w:rPr>
              <w:t xml:space="preserve">Place a new order</w:t>
            </w:r>
          </w:p>
        </w:tc>
        <w:tc>
          <w:tcPr>
            <w:tcMar>
              <w:top w:type="dxa" w:w="50"/>
              <w:left w:type="dxa" w:w="100"/>
              <w:bottom w:type="dxa" w:w="50"/>
              <w:right w:type="dxa" w:w="100"/>
            </w:tcMar>
          </w:tcPr>
          <w:p>
            <w:r>
              <w:rPr>
                <w:rFonts w:ascii="Times New Roman"/>
                <w:color w:val="1A1A1A"/>
                <w:sz w:val="20"/>
                <w:szCs w:val="20"/>
              </w:rPr>
              <w:t xml:space="preserve">Yes (Trade)</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/api/v3/order</w:t>
            </w:r>
          </w:p>
        </w:tc>
        <w:tc>
          <w:tcPr>
            <w:shd w:fill="EDF3F5" w:val="clear"/>
            <w:tcMar>
              <w:top w:type="dxa" w:w="50"/>
              <w:left w:type="dxa" w:w="100"/>
              <w:bottom w:type="dxa" w:w="50"/>
              <w:right w:type="dxa" w:w="100"/>
            </w:tcMar>
          </w:tcPr>
          <w:p>
            <w:r>
              <w:rPr>
                <w:rFonts w:ascii="Times New Roman"/>
                <w:color w:val="1A1A1A"/>
                <w:sz w:val="20"/>
                <w:szCs w:val="20"/>
              </w:rPr>
              <w:t xml:space="preserve">DELETE</w:t>
            </w:r>
          </w:p>
        </w:tc>
        <w:tc>
          <w:tcPr>
            <w:shd w:fill="EDF3F5" w:val="clear"/>
            <w:tcMar>
              <w:top w:type="dxa" w:w="50"/>
              <w:left w:type="dxa" w:w="100"/>
              <w:bottom w:type="dxa" w:w="50"/>
              <w:right w:type="dxa" w:w="100"/>
            </w:tcMar>
          </w:tcPr>
          <w:p>
            <w:r>
              <w:rPr>
                <w:rFonts w:ascii="Times New Roman"/>
                <w:color w:val="1A1A1A"/>
                <w:sz w:val="20"/>
                <w:szCs w:val="20"/>
              </w:rPr>
              <w:t xml:space="preserve">Cancel an existing order</w:t>
            </w:r>
          </w:p>
        </w:tc>
        <w:tc>
          <w:tcPr>
            <w:shd w:fill="EDF3F5" w:val="clear"/>
            <w:tcMar>
              <w:top w:type="dxa" w:w="50"/>
              <w:left w:type="dxa" w:w="100"/>
              <w:bottom w:type="dxa" w:w="50"/>
              <w:right w:type="dxa" w:w="100"/>
            </w:tcMar>
          </w:tcPr>
          <w:p>
            <w:r>
              <w:rPr>
                <w:rFonts w:ascii="Times New Roman"/>
                <w:color w:val="1A1A1A"/>
                <w:sz w:val="20"/>
                <w:szCs w:val="20"/>
              </w:rPr>
              <w:t xml:space="preserve">Yes (Trade)</w:t>
            </w:r>
          </w:p>
        </w:tc>
      </w:tr>
      <w:tr>
        <w:trPr>
          <w:cantSplit/>
        </w:trPr>
        <w:tc>
          <w:tcPr>
            <w:tcMar>
              <w:top w:type="dxa" w:w="50"/>
              <w:left w:type="dxa" w:w="100"/>
              <w:bottom w:type="dxa" w:w="50"/>
              <w:right w:type="dxa" w:w="100"/>
            </w:tcMar>
          </w:tcPr>
          <w:p>
            <w:r>
              <w:rPr>
                <w:rFonts w:ascii="Times New Roman"/>
                <w:color w:val="1A1A1A"/>
                <w:sz w:val="20"/>
                <w:szCs w:val="20"/>
              </w:rPr>
              <w:t xml:space="preserve">/api/v3/openOrders</w:t>
            </w:r>
          </w:p>
        </w:tc>
        <w:tc>
          <w:tcPr>
            <w:tcMar>
              <w:top w:type="dxa" w:w="50"/>
              <w:left w:type="dxa" w:w="100"/>
              <w:bottom w:type="dxa" w:w="50"/>
              <w:right w:type="dxa" w:w="100"/>
            </w:tcMar>
          </w:tcPr>
          <w:p>
            <w:r>
              <w:rPr>
                <w:rFonts w:ascii="Times New Roman"/>
                <w:color w:val="1A1A1A"/>
                <w:sz w:val="20"/>
                <w:szCs w:val="20"/>
              </w:rPr>
              <w:t xml:space="preserve">GET</w:t>
            </w:r>
          </w:p>
        </w:tc>
        <w:tc>
          <w:tcPr>
            <w:tcMar>
              <w:top w:type="dxa" w:w="50"/>
              <w:left w:type="dxa" w:w="100"/>
              <w:bottom w:type="dxa" w:w="50"/>
              <w:right w:type="dxa" w:w="100"/>
            </w:tcMar>
          </w:tcPr>
          <w:p>
            <w:r>
              <w:rPr>
                <w:rFonts w:ascii="Times New Roman"/>
                <w:color w:val="1A1A1A"/>
                <w:sz w:val="20"/>
                <w:szCs w:val="20"/>
              </w:rPr>
              <w:t xml:space="preserve">Get all open orders</w:t>
            </w:r>
          </w:p>
        </w:tc>
        <w:tc>
          <w:tcPr>
            <w:tcMar>
              <w:top w:type="dxa" w:w="50"/>
              <w:left w:type="dxa" w:w="100"/>
              <w:bottom w:type="dxa" w:w="50"/>
              <w:right w:type="dxa" w:w="100"/>
            </w:tcMar>
          </w:tcPr>
          <w:p>
            <w:r>
              <w:rPr>
                <w:rFonts w:ascii="Times New Roman"/>
                <w:color w:val="1A1A1A"/>
                <w:sz w:val="20"/>
                <w:szCs w:val="20"/>
              </w:rPr>
              <w:t xml:space="preserve">Yes (Read)</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/api/v3/myTrades</w:t>
            </w:r>
          </w:p>
        </w:tc>
        <w:tc>
          <w:tcPr>
            <w:shd w:fill="EDF3F5" w:val="clear"/>
            <w:tcMar>
              <w:top w:type="dxa" w:w="50"/>
              <w:left w:type="dxa" w:w="100"/>
              <w:bottom w:type="dxa" w:w="50"/>
              <w:right w:type="dxa" w:w="100"/>
            </w:tcMar>
          </w:tcPr>
          <w:p>
            <w:r>
              <w:rPr>
                <w:rFonts w:ascii="Times New Roman"/>
                <w:color w:val="1A1A1A"/>
                <w:sz w:val="20"/>
                <w:szCs w:val="20"/>
              </w:rPr>
              <w:t xml:space="preserve">GET</w:t>
            </w:r>
          </w:p>
        </w:tc>
        <w:tc>
          <w:tcPr>
            <w:shd w:fill="EDF3F5" w:val="clear"/>
            <w:tcMar>
              <w:top w:type="dxa" w:w="50"/>
              <w:left w:type="dxa" w:w="100"/>
              <w:bottom w:type="dxa" w:w="50"/>
              <w:right w:type="dxa" w:w="100"/>
            </w:tcMar>
          </w:tcPr>
          <w:p>
            <w:r>
              <w:rPr>
                <w:rFonts w:ascii="Times New Roman"/>
                <w:color w:val="1A1A1A"/>
                <w:sz w:val="20"/>
                <w:szCs w:val="20"/>
              </w:rPr>
              <w:t xml:space="preserve">Get trade history</w:t>
            </w:r>
          </w:p>
        </w:tc>
        <w:tc>
          <w:tcPr>
            <w:shd w:fill="EDF3F5" w:val="clear"/>
            <w:tcMar>
              <w:top w:type="dxa" w:w="50"/>
              <w:left w:type="dxa" w:w="100"/>
              <w:bottom w:type="dxa" w:w="50"/>
              <w:right w:type="dxa" w:w="100"/>
            </w:tcMar>
          </w:tcPr>
          <w:p>
            <w:r>
              <w:rPr>
                <w:rFonts w:ascii="Times New Roman"/>
                <w:color w:val="1A1A1A"/>
                <w:sz w:val="20"/>
                <w:szCs w:val="20"/>
              </w:rPr>
              <w:t xml:space="preserve">Yes (Read)</w:t>
            </w:r>
          </w:p>
        </w:tc>
      </w:tr>
      <w:tr>
        <w:trPr>
          <w:cantSplit/>
        </w:trPr>
        <w:tc>
          <w:tcPr>
            <w:tcMar>
              <w:top w:type="dxa" w:w="50"/>
              <w:left w:type="dxa" w:w="100"/>
              <w:bottom w:type="dxa" w:w="50"/>
              <w:right w:type="dxa" w:w="100"/>
            </w:tcMar>
          </w:tcPr>
          <w:p>
            <w:r>
              <w:rPr>
                <w:rFonts w:ascii="Times New Roman"/>
                <w:color w:val="1A1A1A"/>
                <w:sz w:val="20"/>
                <w:szCs w:val="20"/>
              </w:rPr>
              <w:t xml:space="preserve">/api/v3/deposit/history</w:t>
            </w:r>
          </w:p>
        </w:tc>
        <w:tc>
          <w:tcPr>
            <w:tcMar>
              <w:top w:type="dxa" w:w="50"/>
              <w:left w:type="dxa" w:w="100"/>
              <w:bottom w:type="dxa" w:w="50"/>
              <w:right w:type="dxa" w:w="100"/>
            </w:tcMar>
          </w:tcPr>
          <w:p>
            <w:r>
              <w:rPr>
                <w:rFonts w:ascii="Times New Roman"/>
                <w:color w:val="1A1A1A"/>
                <w:sz w:val="20"/>
                <w:szCs w:val="20"/>
              </w:rPr>
              <w:t xml:space="preserve">GET</w:t>
            </w:r>
          </w:p>
        </w:tc>
        <w:tc>
          <w:tcPr>
            <w:tcMar>
              <w:top w:type="dxa" w:w="50"/>
              <w:left w:type="dxa" w:w="100"/>
              <w:bottom w:type="dxa" w:w="50"/>
              <w:right w:type="dxa" w:w="100"/>
            </w:tcMar>
          </w:tcPr>
          <w:p>
            <w:r>
              <w:rPr>
                <w:rFonts w:ascii="Times New Roman"/>
                <w:color w:val="1A1A1A"/>
                <w:sz w:val="20"/>
                <w:szCs w:val="20"/>
              </w:rPr>
              <w:t xml:space="preserve">Get deposit history</w:t>
            </w:r>
          </w:p>
        </w:tc>
        <w:tc>
          <w:tcPr>
            <w:tcMar>
              <w:top w:type="dxa" w:w="50"/>
              <w:left w:type="dxa" w:w="100"/>
              <w:bottom w:type="dxa" w:w="50"/>
              <w:right w:type="dxa" w:w="100"/>
            </w:tcMar>
          </w:tcPr>
          <w:p>
            <w:r>
              <w:rPr>
                <w:rFonts w:ascii="Times New Roman"/>
                <w:color w:val="1A1A1A"/>
                <w:sz w:val="20"/>
                <w:szCs w:val="20"/>
              </w:rPr>
              <w:t xml:space="preserve">Yes (Read)</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/api/v3/withdraw</w:t>
            </w:r>
          </w:p>
        </w:tc>
        <w:tc>
          <w:tcPr>
            <w:shd w:fill="EDF3F5" w:val="clear"/>
            <w:tcMar>
              <w:top w:type="dxa" w:w="50"/>
              <w:left w:type="dxa" w:w="100"/>
              <w:bottom w:type="dxa" w:w="50"/>
              <w:right w:type="dxa" w:w="100"/>
            </w:tcMar>
          </w:tcPr>
          <w:p>
            <w:r>
              <w:rPr>
                <w:rFonts w:ascii="Times New Roman"/>
                <w:color w:val="1A1A1A"/>
                <w:sz w:val="20"/>
                <w:szCs w:val="20"/>
              </w:rPr>
              <w:t xml:space="preserve">POST</w:t>
            </w:r>
          </w:p>
        </w:tc>
        <w:tc>
          <w:tcPr>
            <w:shd w:fill="EDF3F5" w:val="clear"/>
            <w:tcMar>
              <w:top w:type="dxa" w:w="50"/>
              <w:left w:type="dxa" w:w="100"/>
              <w:bottom w:type="dxa" w:w="50"/>
              <w:right w:type="dxa" w:w="100"/>
            </w:tcMar>
          </w:tcPr>
          <w:p>
            <w:r>
              <w:rPr>
                <w:rFonts w:ascii="Times New Roman"/>
                <w:color w:val="1A1A1A"/>
                <w:sz w:val="20"/>
                <w:szCs w:val="20"/>
              </w:rPr>
              <w:t xml:space="preserve">Request withdrawal</w:t>
            </w:r>
          </w:p>
        </w:tc>
        <w:tc>
          <w:tcPr>
            <w:shd w:fill="EDF3F5" w:val="clear"/>
            <w:tcMar>
              <w:top w:type="dxa" w:w="50"/>
              <w:left w:type="dxa" w:w="100"/>
              <w:bottom w:type="dxa" w:w="50"/>
              <w:right w:type="dxa" w:w="100"/>
            </w:tcMar>
          </w:tcPr>
          <w:p>
            <w:r>
              <w:rPr>
                <w:rFonts w:ascii="Times New Roman"/>
                <w:color w:val="1A1A1A"/>
                <w:sz w:val="20"/>
                <w:szCs w:val="20"/>
              </w:rPr>
              <w:t xml:space="preserve">Yes (Withdraw)</w:t>
            </w:r>
          </w:p>
        </w:tc>
      </w:tr>
      <w:tr>
        <w:trPr>
          <w:cantSplit/>
        </w:trPr>
        <w:tc>
          <w:tcPr>
            <w:tcMar>
              <w:top w:type="dxa" w:w="50"/>
              <w:left w:type="dxa" w:w="100"/>
              <w:bottom w:type="dxa" w:w="50"/>
              <w:right w:type="dxa" w:w="100"/>
            </w:tcMar>
          </w:tcPr>
          <w:p>
            <w:r>
              <w:rPr>
                <w:rFonts w:ascii="Times New Roman"/>
                <w:color w:val="1A1A1A"/>
                <w:sz w:val="20"/>
                <w:szCs w:val="20"/>
              </w:rPr>
              <w:t xml:space="preserve">/api/v3/ticker/price</w:t>
            </w:r>
          </w:p>
        </w:tc>
        <w:tc>
          <w:tcPr>
            <w:tcMar>
              <w:top w:type="dxa" w:w="50"/>
              <w:left w:type="dxa" w:w="100"/>
              <w:bottom w:type="dxa" w:w="50"/>
              <w:right w:type="dxa" w:w="100"/>
            </w:tcMar>
          </w:tcPr>
          <w:p>
            <w:r>
              <w:rPr>
                <w:rFonts w:ascii="Times New Roman"/>
                <w:color w:val="1A1A1A"/>
                <w:sz w:val="20"/>
                <w:szCs w:val="20"/>
              </w:rPr>
              <w:t xml:space="preserve">GET</w:t>
            </w:r>
          </w:p>
        </w:tc>
        <w:tc>
          <w:tcPr>
            <w:tcMar>
              <w:top w:type="dxa" w:w="50"/>
              <w:left w:type="dxa" w:w="100"/>
              <w:bottom w:type="dxa" w:w="50"/>
              <w:right w:type="dxa" w:w="100"/>
            </w:tcMar>
          </w:tcPr>
          <w:p>
            <w:r>
              <w:rPr>
                <w:rFonts w:ascii="Times New Roman"/>
                <w:color w:val="1A1A1A"/>
                <w:sz w:val="20"/>
                <w:szCs w:val="20"/>
              </w:rPr>
              <w:t xml:space="preserve">Get latest price for symbol</w:t>
            </w:r>
          </w:p>
        </w:tc>
        <w:tc>
          <w:tcPr>
            <w:tcMar>
              <w:top w:type="dxa" w:w="50"/>
              <w:left w:type="dxa" w:w="100"/>
              <w:bottom w:type="dxa" w:w="50"/>
              <w:right w:type="dxa" w:w="100"/>
            </w:tcMar>
          </w:tcPr>
          <w:p>
            <w:r>
              <w:rPr>
                <w:rFonts w:ascii="Times New Roman"/>
                <w:color w:val="1A1A1A"/>
                <w:sz w:val="20"/>
                <w:szCs w:val="20"/>
              </w:rPr>
              <w:t xml:space="preserve">No</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/api/v3/ticker/book</w:t>
            </w:r>
          </w:p>
        </w:tc>
        <w:tc>
          <w:tcPr>
            <w:shd w:fill="EDF3F5" w:val="clear"/>
            <w:tcMar>
              <w:top w:type="dxa" w:w="50"/>
              <w:left w:type="dxa" w:w="100"/>
              <w:bottom w:type="dxa" w:w="50"/>
              <w:right w:type="dxa" w:w="100"/>
            </w:tcMar>
          </w:tcPr>
          <w:p>
            <w:r>
              <w:rPr>
                <w:rFonts w:ascii="Times New Roman"/>
                <w:color w:val="1A1A1A"/>
                <w:sz w:val="20"/>
                <w:szCs w:val="20"/>
              </w:rPr>
              <w:t xml:space="preserve">GET</w:t>
            </w:r>
          </w:p>
        </w:tc>
        <w:tc>
          <w:tcPr>
            <w:shd w:fill="EDF3F5" w:val="clear"/>
            <w:tcMar>
              <w:top w:type="dxa" w:w="50"/>
              <w:left w:type="dxa" w:w="100"/>
              <w:bottom w:type="dxa" w:w="50"/>
              <w:right w:type="dxa" w:w="100"/>
            </w:tcMar>
          </w:tcPr>
          <w:p>
            <w:r>
              <w:rPr>
                <w:rFonts w:ascii="Times New Roman"/>
                <w:color w:val="1A1A1A"/>
                <w:sz w:val="20"/>
                <w:szCs w:val="20"/>
              </w:rPr>
              <w:t xml:space="preserve">Get order book for symbol</w:t>
            </w:r>
          </w:p>
        </w:tc>
        <w:tc>
          <w:tcPr>
            <w:shd w:fill="EDF3F5" w:val="clear"/>
            <w:tcMar>
              <w:top w:type="dxa" w:w="50"/>
              <w:left w:type="dxa" w:w="100"/>
              <w:bottom w:type="dxa" w:w="50"/>
              <w:right w:type="dxa" w:w="100"/>
            </w:tcMar>
          </w:tcPr>
          <w:p>
            <w:r>
              <w:rPr>
                <w:rFonts w:ascii="Times New Roman"/>
                <w:color w:val="1A1A1A"/>
                <w:sz w:val="20"/>
                <w:szCs w:val="20"/>
              </w:rPr>
              <w:t xml:space="preserve">No</w:t>
            </w:r>
          </w:p>
        </w:tc>
      </w:tr>
      <w:tr>
        <w:trPr>
          <w:cantSplit/>
        </w:trPr>
        <w:tc>
          <w:tcPr>
            <w:tcMar>
              <w:top w:type="dxa" w:w="50"/>
              <w:left w:type="dxa" w:w="100"/>
              <w:bottom w:type="dxa" w:w="50"/>
              <w:right w:type="dxa" w:w="100"/>
            </w:tcMar>
          </w:tcPr>
          <w:p>
            <w:r>
              <w:rPr>
                <w:rFonts w:ascii="Times New Roman"/>
                <w:color w:val="1A1A1A"/>
                <w:sz w:val="20"/>
                <w:szCs w:val="20"/>
              </w:rPr>
              <w:t xml:space="preserve">/api/v3/klines</w:t>
            </w:r>
          </w:p>
        </w:tc>
        <w:tc>
          <w:tcPr>
            <w:tcMar>
              <w:top w:type="dxa" w:w="50"/>
              <w:left w:type="dxa" w:w="100"/>
              <w:bottom w:type="dxa" w:w="50"/>
              <w:right w:type="dxa" w:w="100"/>
            </w:tcMar>
          </w:tcPr>
          <w:p>
            <w:r>
              <w:rPr>
                <w:rFonts w:ascii="Times New Roman"/>
                <w:color w:val="1A1A1A"/>
                <w:sz w:val="20"/>
                <w:szCs w:val="20"/>
              </w:rPr>
              <w:t xml:space="preserve">GET</w:t>
            </w:r>
          </w:p>
        </w:tc>
        <w:tc>
          <w:tcPr>
            <w:tcMar>
              <w:top w:type="dxa" w:w="50"/>
              <w:left w:type="dxa" w:w="100"/>
              <w:bottom w:type="dxa" w:w="50"/>
              <w:right w:type="dxa" w:w="100"/>
            </w:tcMar>
          </w:tcPr>
          <w:p>
            <w:r>
              <w:rPr>
                <w:rFonts w:ascii="Times New Roman"/>
                <w:color w:val="1A1A1A"/>
                <w:sz w:val="20"/>
                <w:szCs w:val="20"/>
              </w:rPr>
              <w:t xml:space="preserve">Get candlestick data</w:t>
            </w:r>
          </w:p>
        </w:tc>
        <w:tc>
          <w:tcPr>
            <w:tcMar>
              <w:top w:type="dxa" w:w="50"/>
              <w:left w:type="dxa" w:w="100"/>
              <w:bottom w:type="dxa" w:w="50"/>
              <w:right w:type="dxa" w:w="100"/>
            </w:tcMar>
          </w:tcPr>
          <w:p>
            <w:r>
              <w:rPr>
                <w:rFonts w:ascii="Times New Roman"/>
                <w:color w:val="1A1A1A"/>
                <w:sz w:val="20"/>
                <w:szCs w:val="20"/>
              </w:rPr>
              <w:t xml:space="preserve">No</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/api/v3/exchangeInfo</w:t>
            </w:r>
          </w:p>
        </w:tc>
        <w:tc>
          <w:tcPr>
            <w:shd w:fill="EDF3F5" w:val="clear"/>
            <w:tcMar>
              <w:top w:type="dxa" w:w="50"/>
              <w:left w:type="dxa" w:w="100"/>
              <w:bottom w:type="dxa" w:w="50"/>
              <w:right w:type="dxa" w:w="100"/>
            </w:tcMar>
          </w:tcPr>
          <w:p>
            <w:r>
              <w:rPr>
                <w:rFonts w:ascii="Times New Roman"/>
                <w:color w:val="1A1A1A"/>
                <w:sz w:val="20"/>
                <w:szCs w:val="20"/>
              </w:rPr>
              <w:t xml:space="preserve">GET</w:t>
            </w:r>
          </w:p>
        </w:tc>
        <w:tc>
          <w:tcPr>
            <w:shd w:fill="EDF3F5" w:val="clear"/>
            <w:tcMar>
              <w:top w:type="dxa" w:w="50"/>
              <w:left w:type="dxa" w:w="100"/>
              <w:bottom w:type="dxa" w:w="50"/>
              <w:right w:type="dxa" w:w="100"/>
            </w:tcMar>
          </w:tcPr>
          <w:p>
            <w:r>
              <w:rPr>
                <w:rFonts w:ascii="Times New Roman"/>
                <w:color w:val="1A1A1A"/>
                <w:sz w:val="20"/>
                <w:szCs w:val="20"/>
              </w:rPr>
              <w:t xml:space="preserve">Get exchange trading rules</w:t>
            </w:r>
          </w:p>
        </w:tc>
        <w:tc>
          <w:tcPr>
            <w:shd w:fill="EDF3F5" w:val="clear"/>
            <w:tcMar>
              <w:top w:type="dxa" w:w="50"/>
              <w:left w:type="dxa" w:w="100"/>
              <w:bottom w:type="dxa" w:w="50"/>
              <w:right w:type="dxa" w:w="100"/>
            </w:tcMar>
          </w:tcPr>
          <w:p>
            <w:r>
              <w:rPr>
                <w:rFonts w:ascii="Times New Roman"/>
                <w:color w:val="1A1A1A"/>
                <w:sz w:val="20"/>
                <w:szCs w:val="20"/>
              </w:rPr>
              <w:t xml:space="preserve">No</w:t>
            </w:r>
          </w:p>
        </w:tc>
      </w:tr>
    </w:tbl>
    <w:p>
      <w:pPr>
        <w:spacing w:after="60" w:before="60"/>
      </w:pPr>
    </w:p>
    <w:p>
      <w:pPr>
        <w:pStyle w:val="Heading2"/>
        <w:spacing w:after="160" w:before="360" w:line="312"/>
      </w:pPr>
      <w:bookmarkStart w:id="100090" w:name="_Toc100090"/>
      <w:r>
        <w:rPr>
          <w:rFonts w:ascii="Times New Roman"/>
          <w:b/>
          <w:bCs/>
          <w:color w:val="0F2027"/>
          <w:sz w:val="30"/>
          <w:szCs w:val="30"/>
        </w:rPr>
        <w:t xml:space="preserve">14.2 WebSocket API</w:t>
      </w:r>
      <w:bookmarkEnd w:id="100090"/>
    </w:p>
    <w:p>
      <w:pPr>
        <w:spacing w:after="120" w:line="312"/>
        <w:jc w:val="both"/>
      </w:pPr>
      <w:r>
        <w:rPr>
          <w:rFonts w:ascii="Times New Roman"/>
          <w:color w:val="1A1A1A"/>
          <w:sz w:val="22"/>
          <w:szCs w:val="22"/>
        </w:rPr>
        <w:t xml:space="preserve">The WebSocket API provides real-time streaming of market data and account events. Market data streams include trade executions, order book depth updates (configurable levels: 5, 10, or 20), candlestick updates (1s, 1m, 5m, 15m, 1h, 4h, 1d), and 24-hour ticker statistics. User data streams include order updates (filled, partially filled, canceled), account balance updates, and OCO order trigger events. WebSocket connections support combined streams (multiple symbols on a single connection) to reduce connection overhead.</w:t>
      </w:r>
    </w:p>
    <w:p>
      <w:pPr>
        <w:spacing w:after="120" w:line="312"/>
        <w:jc w:val="both"/>
      </w:pPr>
      <w:r>
        <w:rPr>
          <w:rFonts w:ascii="Times New Roman"/>
          <w:color w:val="1A1A1A"/>
          <w:sz w:val="22"/>
          <w:szCs w:val="22"/>
        </w:rPr>
        <w:t xml:space="preserve">WebSocket message format is JSON, with each message containing an event type (e.g., trade, depth, kline), the trading pair symbol, and the payload data. Heartbeat messages are sent every 30 seconds to detect stale connections; clients must respond with a pong within 10 seconds or the connection is terminated. Reconnection logic supports automatic reconnection with a sequence number to resume from the last received event, preventing data gaps during brief network interruptions.</w:t>
      </w:r>
    </w:p>
    <w:p>
      <w:pPr>
        <w:pStyle w:val="Heading2"/>
        <w:spacing w:after="160" w:before="360" w:line="312"/>
      </w:pPr>
      <w:bookmarkStart w:id="100091" w:name="_Toc100091"/>
      <w:r>
        <w:rPr>
          <w:rFonts w:ascii="Times New Roman"/>
          <w:b/>
          <w:bCs/>
          <w:color w:val="0F2027"/>
          <w:sz w:val="30"/>
          <w:szCs w:val="30"/>
        </w:rPr>
        <w:t xml:space="preserve">14.3 FIX Protocol API</w:t>
      </w:r>
      <w:bookmarkEnd w:id="100091"/>
    </w:p>
    <w:p>
      <w:pPr>
        <w:spacing w:after="120" w:line="312"/>
        <w:jc w:val="both"/>
      </w:pPr>
      <w:r>
        <w:rPr>
          <w:rFonts w:ascii="Times New Roman"/>
          <w:color w:val="1A1A1A"/>
          <w:sz w:val="22"/>
          <w:szCs w:val="22"/>
        </w:rPr>
        <w:t xml:space="preserve">The FIX (Financial Information eXchange) Protocol API is designed for institutional clients who require the highest performance and reliability standards. The platform implements FIX 4.4 with support for the standard order entry, order cancellation, and execution reporting message types. FIX sessions are established over dedicated TCP connections with TLS encryption, with each institutional client assigned dedicated FIX gateway instances to ensure predictable latency and throughput. The FIX engine supports custom tags for exchange-specific parameters (leverage, margin type, time-in-force).</w:t>
      </w:r>
    </w:p>
    <w:p>
      <w:pPr>
        <w:pStyle w:val="Heading2"/>
        <w:spacing w:after="160" w:before="360" w:line="312"/>
      </w:pPr>
      <w:bookmarkStart w:id="100092" w:name="_Toc100092"/>
      <w:r>
        <w:rPr>
          <w:rFonts w:ascii="Times New Roman"/>
          <w:b/>
          <w:bCs/>
          <w:color w:val="0F2027"/>
          <w:sz w:val="30"/>
          <w:szCs w:val="30"/>
        </w:rPr>
        <w:t xml:space="preserve">14.4 Rate Limiting</w:t>
      </w:r>
      <w:bookmarkEnd w:id="100092"/>
    </w:p>
    <w:p>
      <w:pPr>
        <w:spacing w:after="120" w:line="312"/>
        <w:jc w:val="both"/>
      </w:pPr>
      <w:r>
        <w:rPr>
          <w:rFonts w:ascii="Times New Roman"/>
          <w:color w:val="1A1A1A"/>
          <w:sz w:val="22"/>
          <w:szCs w:val="22"/>
        </w:rPr>
        <w:t xml:space="preserve">Rate limiting is enforced at multiple levels: per-IP address (to prevent abuse from unauthenticated requests), per-API key (to prevent individual clients from consuming excessive resources), and per-endpoint (to protect critical endpoints). The rate limit algorithm uses a sliding window counter with a 1-minute window. Default limits are: 1200 requests per minute per IP (weight-based, with different endpoints consuming different weights), 6000 requests per minute per API key (VIP tier), and WebSocket message limits of 10 messages per second per connection. Exceeding rate limits returns HTTP 429 with Retry-After headers.</w:t>
      </w:r>
    </w:p>
    <w:p>
      <w:pPr>
        <w:pStyle w:val="Heading1"/>
        <w:spacing w:after="200" w:before="480" w:line="312"/>
      </w:pPr>
      <w:bookmarkStart w:id="100093" w:name="_Toc100093"/>
      <w:r>
        <w:rPr>
          <w:rFonts w:ascii="Times New Roman"/>
          <w:b/>
          <w:bCs/>
          <w:color w:val="0F2027"/>
          <w:sz w:val="36"/>
          <w:szCs w:val="36"/>
        </w:rPr>
        <w:t xml:space="preserve">Section 15: Mobile Architecture</w:t>
      </w:r>
      <w:bookmarkEnd w:id="100093"/>
    </w:p>
    <w:p>
      <w:pPr>
        <w:pStyle w:val="Heading2"/>
        <w:spacing w:after="160" w:before="360" w:line="312"/>
      </w:pPr>
      <w:bookmarkStart w:id="100094" w:name="_Toc100094"/>
      <w:r>
        <w:rPr>
          <w:rFonts w:ascii="Times New Roman"/>
          <w:b/>
          <w:bCs/>
          <w:color w:val="0F2027"/>
          <w:sz w:val="30"/>
          <w:szCs w:val="30"/>
        </w:rPr>
        <w:t xml:space="preserve">15.1 Android Architecture</w:t>
      </w:r>
      <w:bookmarkEnd w:id="100094"/>
    </w:p>
    <w:p>
      <w:pPr>
        <w:spacing w:after="120" w:line="312"/>
        <w:jc w:val="both"/>
      </w:pPr>
      <w:r>
        <w:rPr>
          <w:rFonts w:ascii="Times New Roman"/>
          <w:color w:val="1A1A1A"/>
          <w:sz w:val="22"/>
          <w:szCs w:val="22"/>
        </w:rPr>
        <w:t xml:space="preserve">The Android application is built using Kotlin with Jetpack Compose for the UI layer, following the MVVM (Model-View-ViewModel) architecture pattern with a clean architecture approach separating presentation, domain, and data layers. The app uses Hilt for dependency injection, Room for local database storage, Retrofit for network communication, and Kotlin Coroutines and Flow for reactive programming. The trading chart uses a custom Canvas-based rendering engine for high-performance candlestick and order book visualization.</w:t>
      </w:r>
    </w:p>
    <w:p>
      <w:pPr>
        <w:spacing w:after="120" w:line="312"/>
        <w:jc w:val="both"/>
      </w:pPr>
      <w:r>
        <w:rPr>
          <w:rFonts w:ascii="Times New Roman"/>
          <w:color w:val="1A1A1A"/>
          <w:sz w:val="22"/>
          <w:szCs w:val="22"/>
        </w:rPr>
        <w:t xml:space="preserve">The Android app supports API level 24+ (Android 7.0+) covering 98%+ of the active Android device market. Security features include hardware-backed keystore for sensitive data storage, biometric authentication (fingerprint, face unlock) through the Android BiometricPrompt API, certificate pinning for API communication, and ProGuard/R8 code obfuscation. The app is distributed through the Google Play Store and as a direct APK download from the platform website.</w:t>
      </w:r>
    </w:p>
    <w:p>
      <w:pPr>
        <w:pStyle w:val="Heading2"/>
        <w:spacing w:after="160" w:before="360" w:line="312"/>
      </w:pPr>
      <w:bookmarkStart w:id="100095" w:name="_Toc100095"/>
      <w:r>
        <w:rPr>
          <w:rFonts w:ascii="Times New Roman"/>
          <w:b/>
          <w:bCs/>
          <w:color w:val="0F2027"/>
          <w:sz w:val="30"/>
          <w:szCs w:val="30"/>
        </w:rPr>
        <w:t xml:space="preserve">15.2 iOS Architecture</w:t>
      </w:r>
      <w:bookmarkEnd w:id="100095"/>
    </w:p>
    <w:p>
      <w:pPr>
        <w:spacing w:after="120" w:line="312"/>
        <w:jc w:val="both"/>
      </w:pPr>
      <w:r>
        <w:rPr>
          <w:rFonts w:ascii="Times New Roman"/>
          <w:color w:val="1A1A1A"/>
          <w:sz w:val="22"/>
          <w:szCs w:val="22"/>
        </w:rPr>
        <w:t xml:space="preserve">The iOS application is built using Swift with SwiftUI for the UI layer, following the same MVVM pattern. Core Data or SwiftData is used for local persistence, URLSession for networking, and Combine framework for reactive data flow. The app supports iOS 15.0+, covering 95%+ of active iPhones. Security features include Keychain Services for credential storage, Face ID / Touch ID through LocalAuthentication framework, App Transport Security (ATS) enforcement, and code signing with provisioning profiles managed through Apple's Enterprise Developer Program.</w:t>
      </w:r>
    </w:p>
    <w:p>
      <w:pPr>
        <w:pStyle w:val="Heading2"/>
        <w:spacing w:after="160" w:before="360" w:line="312"/>
      </w:pPr>
      <w:bookmarkStart w:id="100096" w:name="_Toc100096"/>
      <w:r>
        <w:rPr>
          <w:rFonts w:ascii="Times New Roman"/>
          <w:b/>
          <w:bCs/>
          <w:color w:val="0F2027"/>
          <w:sz w:val="30"/>
          <w:szCs w:val="30"/>
        </w:rPr>
        <w:t xml:space="preserve">15.3 Offline Support and Push Notifications</w:t>
      </w:r>
      <w:bookmarkEnd w:id="100096"/>
    </w:p>
    <w:p>
      <w:pPr>
        <w:spacing w:after="120" w:line="312"/>
        <w:jc w:val="both"/>
      </w:pPr>
      <w:r>
        <w:rPr>
          <w:rFonts w:ascii="Times New Roman"/>
          <w:color w:val="1A1A1A"/>
          <w:sz w:val="22"/>
          <w:szCs w:val="22"/>
        </w:rPr>
        <w:t xml:space="preserve">Both mobile applications implement offline-capable architecture using local SQLite databases synchronized with the server through a conflict-resolution strategy (last-write-wins for non-critical data, server-authoritative for financial data). When offline, users can view cached portfolio data, market data (with staleness indicators), and previously loaded charts. Upon reconnection, the app performs a delta synchronization to update any changed data.</w:t>
      </w:r>
    </w:p>
    <w:p>
      <w:pPr>
        <w:spacing w:after="120" w:line="312"/>
        <w:jc w:val="both"/>
      </w:pPr>
      <w:r>
        <w:rPr>
          <w:rFonts w:ascii="Times New Roman"/>
          <w:color w:val="1A1A1A"/>
          <w:sz w:val="22"/>
          <w:szCs w:val="22"/>
        </w:rPr>
        <w:t xml:space="preserve">Push notifications are implemented through Firebase Cloud Messaging (FCM) for Android and Apple Push Notification Service (APNs) for iOS. Notification types include: price alerts (user-defined threshold triggers), order fill notifications, deposit/withdrawal confirmations, margin call warnings, liquidation alerts, security events (login from new device, password change), and marketing communications (opt-in only). Notifications are personalized and localized to the user's language preference.</w:t>
      </w:r>
    </w:p>
    <w:p>
      <w:pPr>
        <w:pStyle w:val="Heading1"/>
        <w:spacing w:after="200" w:before="480" w:line="312"/>
      </w:pPr>
      <w:bookmarkStart w:id="100097" w:name="_Toc100097"/>
      <w:r>
        <w:rPr>
          <w:rFonts w:ascii="Times New Roman"/>
          <w:b/>
          <w:bCs/>
          <w:color w:val="0F2027"/>
          <w:sz w:val="36"/>
          <w:szCs w:val="36"/>
        </w:rPr>
        <w:t xml:space="preserve">Section 16: Analytics Platform</w:t>
      </w:r>
      <w:bookmarkEnd w:id="100097"/>
    </w:p>
    <w:p>
      <w:pPr>
        <w:pStyle w:val="Heading2"/>
        <w:spacing w:after="160" w:before="360" w:line="312"/>
      </w:pPr>
      <w:bookmarkStart w:id="100098" w:name="_Toc100098"/>
      <w:r>
        <w:rPr>
          <w:rFonts w:ascii="Times New Roman"/>
          <w:b/>
          <w:bCs/>
          <w:color w:val="0F2027"/>
          <w:sz w:val="30"/>
          <w:szCs w:val="30"/>
        </w:rPr>
        <w:t xml:space="preserve">16.1 Architecture Overview</w:t>
      </w:r>
      <w:bookmarkEnd w:id="100098"/>
    </w:p>
    <w:p>
      <w:pPr>
        <w:spacing w:after="120" w:line="312"/>
        <w:jc w:val="both"/>
      </w:pPr>
      <w:r>
        <w:rPr>
          <w:rFonts w:ascii="Times New Roman"/>
          <w:color w:val="1A1A1A"/>
          <w:sz w:val="22"/>
          <w:szCs w:val="22"/>
        </w:rPr>
        <w:t xml:space="preserve">The analytics platform is built on a modern data lakehouse architecture combining the scalability of data lakes with the performance of data warehouses. Raw event data flows from Kafka into a data lake (S3/GCS) in Parquet format, partitioned by date and event type. This raw data is processed by Apache Spark (batch) and Apache Flink (real-time) to produce aggregated datasets stored in ClickHouse for sub-second analytical queries. The analytics platform serves multiple stakeholders: traders (portfolio analytics, trade history, PnL reports), operations (deposit/withdrawal volumes, fee collection, system health), compliance (transaction monitoring reports, SAR filings), and business (user growth, engagement metrics, revenue analytics).</w:t>
      </w:r>
    </w:p>
    <w:p>
      <w:pPr>
        <w:pStyle w:val="Heading2"/>
        <w:spacing w:after="160" w:before="360" w:line="312"/>
      </w:pPr>
      <w:bookmarkStart w:id="100099" w:name="_Toc100099"/>
      <w:r>
        <w:rPr>
          <w:rFonts w:ascii="Times New Roman"/>
          <w:b/>
          <w:bCs/>
          <w:color w:val="0F2027"/>
          <w:sz w:val="30"/>
          <w:szCs w:val="30"/>
        </w:rPr>
        <w:t xml:space="preserve">16.2 Real-Time Dashboards</w:t>
      </w:r>
      <w:bookmarkEnd w:id="100099"/>
    </w:p>
    <w:p>
      <w:pPr>
        <w:spacing w:after="120" w:line="312"/>
        <w:jc w:val="both"/>
      </w:pPr>
      <w:r>
        <w:rPr>
          <w:rFonts w:ascii="Times New Roman"/>
          <w:color w:val="1A1A1A"/>
          <w:sz w:val="22"/>
          <w:szCs w:val="22"/>
        </w:rPr>
        <w:t xml:space="preserve">Real-time dashboards are built using Grafana with custom plugins, displaying live metrics including: total trading volume (24h, 7d, 30d), active user count, concurrent sessions, order book depth, funding rates, liquidation volume, deposit/withdrawal throughput, system health (latency, error rates, queue depths), and insurance fund balance. Dashboards are role-based: traders see market-focused dashboards, operations see system-health dashboards, and executives see business KPI dashboards. Historical analytics enable trend analysis, seasonal pattern identification, and what-if scenario modeling.</w:t>
      </w:r>
    </w:p>
    <w:p>
      <w:pPr>
        <w:pStyle w:val="Heading2"/>
        <w:spacing w:after="160" w:before="360" w:line="312"/>
      </w:pPr>
      <w:bookmarkStart w:id="100100" w:name="_Toc100100"/>
      <w:r>
        <w:rPr>
          <w:rFonts w:ascii="Times New Roman"/>
          <w:b/>
          <w:bCs/>
          <w:color w:val="0F2027"/>
          <w:sz w:val="30"/>
          <w:szCs w:val="30"/>
        </w:rPr>
        <w:t xml:space="preserve">16.3 Data Pipeline</w:t>
      </w:r>
      <w:bookmarkEnd w:id="100100"/>
    </w:p>
    <w:p>
      <w:pPr>
        <w:spacing w:after="120" w:line="312"/>
        <w:jc w:val="both"/>
      </w:pPr>
      <w:r>
        <w:rPr>
          <w:rFonts w:ascii="Times New Roman"/>
          <w:color w:val="1A1A1A"/>
          <w:sz w:val="22"/>
          <w:szCs w:val="22"/>
        </w:rPr>
        <w:t xml:space="preserve">The data pipeline follows a Lambda Architecture with both batch and real-time processing paths. The batch layer (Apache Spark on Kubernetes) processes historical data daily, computing aggregates, generating reports, and feeding machine learning training datasets. The speed layer (Apache Flink) processes real-time events for live dashboards, real-time risk calculations, and immediate fraud detection. The serving layer (ClickHouse + Redis) serves pre-computed aggregates for fast querying. The pipeline is managed by Apache Airflow (or Dagster) for workflow orchestration, with data quality checks at every stage using Great Expectations.</w:t>
      </w:r>
    </w:p>
    <w:p>
      <w:pPr>
        <w:pStyle w:val="Heading1"/>
        <w:spacing w:after="200" w:before="480" w:line="312"/>
      </w:pPr>
      <w:bookmarkStart w:id="100101" w:name="_Toc100101"/>
      <w:r>
        <w:rPr>
          <w:rFonts w:ascii="Times New Roman"/>
          <w:b/>
          <w:bCs/>
          <w:color w:val="0F2027"/>
          <w:sz w:val="36"/>
          <w:szCs w:val="36"/>
        </w:rPr>
        <w:t xml:space="preserve">Section 17: AI Systems</w:t>
      </w:r>
      <w:bookmarkEnd w:id="100101"/>
    </w:p>
    <w:p>
      <w:pPr>
        <w:pStyle w:val="Heading2"/>
        <w:spacing w:after="160" w:before="360" w:line="312"/>
      </w:pPr>
      <w:bookmarkStart w:id="100102" w:name="_Toc100102"/>
      <w:r>
        <w:rPr>
          <w:rFonts w:ascii="Times New Roman"/>
          <w:b/>
          <w:bCs/>
          <w:color w:val="0F2027"/>
          <w:sz w:val="30"/>
          <w:szCs w:val="30"/>
        </w:rPr>
        <w:t xml:space="preserve">17.1 Fraud Detection AI</w:t>
      </w:r>
      <w:bookmarkEnd w:id="100102"/>
    </w:p>
    <w:p>
      <w:pPr>
        <w:spacing w:after="120" w:line="312"/>
        <w:jc w:val="both"/>
      </w:pPr>
      <w:r>
        <w:rPr>
          <w:rFonts w:ascii="Times New Roman"/>
          <w:color w:val="1A1A1A"/>
          <w:sz w:val="22"/>
          <w:szCs w:val="22"/>
        </w:rPr>
        <w:t xml:space="preserve">The AI-powered fraud detection system uses a multi-model approach combining supervised learning (XGBoost, Random Forest classifiers) trained on labeled fraud cases, unsupervised anomaly detection (Isolation Forest, Variational Autoencoders) for discovering novel fraud patterns, and graph neural networks (GNN) for detecting coordinated fraud networks across multiple accounts. The system processes every transaction in real-time through a feature extraction pipeline that computes over 200 behavioral features (transaction velocity, geographic patterns, counterparty risk scores, temporal patterns) and outputs a fraud risk score (0-100).</w:t>
      </w:r>
    </w:p>
    <w:p>
      <w:pPr>
        <w:spacing w:after="120" w:line="312"/>
        <w:jc w:val="both"/>
      </w:pPr>
      <w:r>
        <w:rPr>
          <w:rFonts w:ascii="Times New Roman"/>
          <w:color w:val="1A1A1A"/>
          <w:sz w:val="22"/>
          <w:szCs w:val="22"/>
        </w:rPr>
        <w:t xml:space="preserve">Transactions with risk scores above 80 are automatically blocked pending manual review. Scores between 50-80 trigger enhanced monitoring with additional data collection. Scores below 50 are allowed through. The model is retrained weekly using newly labeled data from manual reviews, with A/B testing to validate model improvements before production deployment. Model explainability is provided through SHAP values, allowing compliance officers to understand why a specific transaction was flagged.</w:t>
      </w:r>
    </w:p>
    <w:p>
      <w:pPr>
        <w:pStyle w:val="Heading2"/>
        <w:spacing w:after="160" w:before="360" w:line="312"/>
      </w:pPr>
      <w:bookmarkStart w:id="100103" w:name="_Toc100103"/>
      <w:r>
        <w:rPr>
          <w:rFonts w:ascii="Times New Roman"/>
          <w:b/>
          <w:bCs/>
          <w:color w:val="0F2027"/>
          <w:sz w:val="30"/>
          <w:szCs w:val="30"/>
        </w:rPr>
        <w:t xml:space="preserve">17.2 Market Anomaly Detection</w:t>
      </w:r>
      <w:bookmarkEnd w:id="100103"/>
    </w:p>
    <w:p>
      <w:pPr>
        <w:spacing w:after="120" w:line="312"/>
        <w:jc w:val="both"/>
      </w:pPr>
      <w:r>
        <w:rPr>
          <w:rFonts w:ascii="Times New Roman"/>
          <w:color w:val="1A1A1A"/>
          <w:sz w:val="22"/>
          <w:szCs w:val="22"/>
        </w:rPr>
        <w:t xml:space="preserve">The market anomaly detection system monitors all trading activity for patterns indicative of market manipulation. It uses statistical process control (Bollinger bands on order flow metrics), regime detection models (Hidden Markov Models) to identify abnormal market conditions, and pattern recognition (CNN-LSTM models) trained on historical manipulation cases. The system detects: sudden volume spikes, unusual price movements, coordinated trading across correlated pairs, wash trading patterns, and spoofing behavior. Alerts are generated for the surveillance team with a confidence score and supporting evidence.</w:t>
      </w:r>
    </w:p>
    <w:p>
      <w:pPr>
        <w:pStyle w:val="Heading2"/>
        <w:spacing w:after="160" w:before="360" w:line="312"/>
      </w:pPr>
      <w:bookmarkStart w:id="100104" w:name="_Toc100104"/>
      <w:r>
        <w:rPr>
          <w:rFonts w:ascii="Times New Roman"/>
          <w:b/>
          <w:bCs/>
          <w:color w:val="0F2027"/>
          <w:sz w:val="30"/>
          <w:szCs w:val="30"/>
        </w:rPr>
        <w:t xml:space="preserve">17.3 Support Chatbot</w:t>
      </w:r>
      <w:bookmarkEnd w:id="100104"/>
    </w:p>
    <w:p>
      <w:pPr>
        <w:spacing w:after="120" w:line="312"/>
        <w:jc w:val="both"/>
      </w:pPr>
      <w:r>
        <w:rPr>
          <w:rFonts w:ascii="Times New Roman"/>
          <w:color w:val="1A1A1A"/>
          <w:sz w:val="22"/>
          <w:szCs w:val="22"/>
        </w:rPr>
        <w:t xml:space="preserve">An AI-powered customer support chatbot handles common user inquiries including account registration, deposit/withdrawal status, fee structures, trading mechanics, and security procedures. The chatbot is built on a large language model (LLM) fine-tuned on the platform's documentation, FAQ, and historical support tickets, with retrieval-augmented generation (RAG) using a vector database of support content for accurate, context-aware responses. The chatbot resolves an estimated 60-70% of support tickets without human intervention, with seamless escalation to human agents for complex issues.</w:t>
      </w:r>
    </w:p>
    <w:p>
      <w:pPr>
        <w:pStyle w:val="Heading2"/>
        <w:spacing w:after="160" w:before="360" w:line="312"/>
      </w:pPr>
      <w:bookmarkStart w:id="100105" w:name="_Toc100105"/>
      <w:r>
        <w:rPr>
          <w:rFonts w:ascii="Times New Roman"/>
          <w:b/>
          <w:bCs/>
          <w:color w:val="0F2027"/>
          <w:sz w:val="30"/>
          <w:szCs w:val="30"/>
        </w:rPr>
        <w:t xml:space="preserve">17.4 Trading Assistant</w:t>
      </w:r>
      <w:bookmarkEnd w:id="100105"/>
    </w:p>
    <w:p>
      <w:pPr>
        <w:spacing w:after="120" w:line="312"/>
        <w:jc w:val="both"/>
      </w:pPr>
      <w:r>
        <w:rPr>
          <w:rFonts w:ascii="Times New Roman"/>
          <w:color w:val="1A1A1A"/>
          <w:sz w:val="22"/>
          <w:szCs w:val="22"/>
        </w:rPr>
        <w:t xml:space="preserve">The AI trading assistant provides personalized insights to users based on their trading history, market conditions, and risk profile. Features include: portfolio risk analysis (VaR, Sharpe ratio, correlation analysis), market sentiment analysis (from social media, news, and on-chain data), personalized trading suggestions (based on technical analysis and the user's trading style), and automated risk alerts (notifying users when their portfolio exposure exceeds their stated risk tolerance). The assistant operates as an opt-in feature, with clear disclaimers that it provides educational insights only and does not constitute financial advice.</w:t>
      </w:r>
    </w:p>
    <w:p>
      <w:pPr>
        <w:pStyle w:val="Heading1"/>
        <w:spacing w:after="200" w:before="480" w:line="312"/>
      </w:pPr>
      <w:bookmarkStart w:id="100106" w:name="_Toc100106"/>
      <w:r>
        <w:rPr>
          <w:rFonts w:ascii="Times New Roman"/>
          <w:b/>
          <w:bCs/>
          <w:color w:val="0F2027"/>
          <w:sz w:val="36"/>
          <w:szCs w:val="36"/>
        </w:rPr>
        <w:t xml:space="preserve">Section 18: Disaster Recovery</w:t>
      </w:r>
      <w:bookmarkEnd w:id="100106"/>
    </w:p>
    <w:p>
      <w:pPr>
        <w:pStyle w:val="Heading2"/>
        <w:spacing w:after="160" w:before="360" w:line="312"/>
      </w:pPr>
      <w:bookmarkStart w:id="100107" w:name="_Toc100107"/>
      <w:r>
        <w:rPr>
          <w:rFonts w:ascii="Times New Roman"/>
          <w:b/>
          <w:bCs/>
          <w:color w:val="0F2027"/>
          <w:sz w:val="30"/>
          <w:szCs w:val="30"/>
        </w:rPr>
        <w:t xml:space="preserve">18.1 Backup Strategy</w:t>
      </w:r>
      <w:bookmarkEnd w:id="100107"/>
    </w:p>
    <w:p>
      <w:pPr>
        <w:spacing w:after="120" w:line="312"/>
        <w:jc w:val="both"/>
      </w:pPr>
      <w:r>
        <w:rPr>
          <w:rFonts w:ascii="Times New Roman"/>
          <w:color w:val="1A1A1A"/>
          <w:sz w:val="22"/>
          <w:szCs w:val="22"/>
        </w:rPr>
        <w:t xml:space="preserve">The backup strategy follows the 3-2-1 rule: 3 copies of all data, on 2 different media types, with 1 copy offsite. Database backups include: continuous WAL (Write-Ahead Log) archival for point-in-time recovery (PITR) with 30-day retention, daily full snapshots encrypted with AES-256 and stored in a geographically separate region, and weekly full snapshots stored in an air-gapped, offline storage facility. Object storage data (KYC documents, system configurations) is versioned with cross-region replication. Application configuration and infrastructure-as-code are version-controlled in Git with automated backups.</w:t>
      </w:r>
    </w:p>
    <w:p>
      <w:pPr>
        <w:pStyle w:val="Heading2"/>
        <w:spacing w:after="160" w:before="360" w:line="312"/>
      </w:pPr>
      <w:bookmarkStart w:id="100108" w:name="_Toc100108"/>
      <w:r>
        <w:rPr>
          <w:rFonts w:ascii="Times New Roman"/>
          <w:b/>
          <w:bCs/>
          <w:color w:val="0F2027"/>
          <w:sz w:val="30"/>
          <w:szCs w:val="30"/>
        </w:rPr>
        <w:t xml:space="preserve">18.2 Failover Procedures</w:t>
      </w:r>
      <w:bookmarkEnd w:id="100108"/>
    </w:p>
    <w:p>
      <w:pPr>
        <w:spacing w:after="120" w:line="312"/>
        <w:jc w:val="both"/>
      </w:pPr>
      <w:r>
        <w:rPr>
          <w:rFonts w:ascii="Times New Roman"/>
          <w:color w:val="1A1A1A"/>
          <w:sz w:val="22"/>
          <w:szCs w:val="22"/>
        </w:rPr>
        <w:t xml:space="preserve">Failover procedures are documented in detailed runbooks and tested quarterly through DR drills. The failover sequence for a full region failure: (1) Detection: health monitoring detects primary region failure through automated health checks (application, database, network). (2) Alerting: P1 incident is raised, on-call team is paged, and the DR coordinator is notified. (3) Assessment: the DR coordinator confirms the failure scope and authorizes failover. (4) DNS Failover: Route53 health checks route traffic to the secondary region. (5) Database Failover: the standby database is promoted to primary, replication from other regions is redirected. (6) Application Activation: Kubernetes pods in the secondary region are scaled up to full capacity. (7) Validation: smoke tests confirm all critical functionality is operational.</w:t>
      </w:r>
    </w:p>
    <w:p>
      <w:pPr>
        <w:pStyle w:val="Heading2"/>
        <w:spacing w:after="160" w:before="360" w:line="312"/>
      </w:pPr>
      <w:bookmarkStart w:id="100109" w:name="_Toc100109"/>
      <w:r>
        <w:rPr>
          <w:rFonts w:ascii="Times New Roman"/>
          <w:b/>
          <w:bCs/>
          <w:color w:val="0F2027"/>
          <w:sz w:val="30"/>
          <w:szCs w:val="30"/>
        </w:rPr>
        <w:t xml:space="preserve">18.3 RTO and RPO Targets</w:t>
      </w:r>
      <w:bookmarkEnd w:id="100109"/>
    </w:p>
    <w:p>
      <w:pPr>
        <w:keepNext/>
        <w:spacing w:after="80" w:before="200" w:line="312"/>
      </w:pPr>
      <w:r>
        <w:rPr>
          <w:rFonts w:ascii="Times New Roman"/>
          <w:b/>
          <w:bCs/>
          <w:i/>
          <w:iCs/>
          <w:color w:val="4A6575"/>
          <w:sz w:val="20"/>
          <w:szCs w:val="20"/>
        </w:rPr>
        <w:t xml:space="preserve">Table 18.1: Recovery Objectives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Scenario</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RTO</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RPO</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Recovery Method</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Single service failure</w:t>
            </w:r>
          </w:p>
        </w:tc>
        <w:tc>
          <w:tcPr>
            <w:shd w:fill="EDF3F5" w:val="clear"/>
            <w:tcMar>
              <w:top w:type="dxa" w:w="50"/>
              <w:left w:type="dxa" w:w="100"/>
              <w:bottom w:type="dxa" w:w="50"/>
              <w:right w:type="dxa" w:w="100"/>
            </w:tcMar>
          </w:tcPr>
          <w:p>
            <w:r>
              <w:rPr>
                <w:rFonts w:ascii="Times New Roman"/>
                <w:color w:val="1A1A1A"/>
                <w:sz w:val="20"/>
                <w:szCs w:val="20"/>
              </w:rPr>
              <w:t xml:space="preserve">&lt; 1 minute</w:t>
            </w:r>
          </w:p>
        </w:tc>
        <w:tc>
          <w:tcPr>
            <w:shd w:fill="EDF3F5" w:val="clear"/>
            <w:tcMar>
              <w:top w:type="dxa" w:w="50"/>
              <w:left w:type="dxa" w:w="100"/>
              <w:bottom w:type="dxa" w:w="50"/>
              <w:right w:type="dxa" w:w="100"/>
            </w:tcMar>
          </w:tcPr>
          <w:p>
            <w:r>
              <w:rPr>
                <w:rFonts w:ascii="Times New Roman"/>
                <w:color w:val="1A1A1A"/>
                <w:sz w:val="20"/>
                <w:szCs w:val="20"/>
              </w:rPr>
              <w:t xml:space="preserve">0 (no data loss)</w:t>
            </w:r>
          </w:p>
        </w:tc>
        <w:tc>
          <w:tcPr>
            <w:shd w:fill="EDF3F5" w:val="clear"/>
            <w:tcMar>
              <w:top w:type="dxa" w:w="50"/>
              <w:left w:type="dxa" w:w="100"/>
              <w:bottom w:type="dxa" w:w="50"/>
              <w:right w:type="dxa" w:w="100"/>
            </w:tcMar>
          </w:tcPr>
          <w:p>
            <w:r>
              <w:rPr>
                <w:rFonts w:ascii="Times New Roman"/>
                <w:color w:val="1A1A1A"/>
                <w:sz w:val="20"/>
                <w:szCs w:val="20"/>
              </w:rPr>
              <w:t xml:space="preserve">Kubernetes rescheduling</w:t>
            </w:r>
          </w:p>
        </w:tc>
      </w:tr>
      <w:tr>
        <w:trPr>
          <w:cantSplit/>
        </w:trPr>
        <w:tc>
          <w:tcPr>
            <w:tcMar>
              <w:top w:type="dxa" w:w="50"/>
              <w:left w:type="dxa" w:w="100"/>
              <w:bottom w:type="dxa" w:w="50"/>
              <w:right w:type="dxa" w:w="100"/>
            </w:tcMar>
          </w:tcPr>
          <w:p>
            <w:r>
              <w:rPr>
                <w:rFonts w:ascii="Times New Roman"/>
                <w:color w:val="1A1A1A"/>
                <w:sz w:val="20"/>
                <w:szCs w:val="20"/>
              </w:rPr>
              <w:t xml:space="preserve">Availability zone failure</w:t>
            </w:r>
          </w:p>
        </w:tc>
        <w:tc>
          <w:tcPr>
            <w:tcMar>
              <w:top w:type="dxa" w:w="50"/>
              <w:left w:type="dxa" w:w="100"/>
              <w:bottom w:type="dxa" w:w="50"/>
              <w:right w:type="dxa" w:w="100"/>
            </w:tcMar>
          </w:tcPr>
          <w:p>
            <w:r>
              <w:rPr>
                <w:rFonts w:ascii="Times New Roman"/>
                <w:color w:val="1A1A1A"/>
                <w:sz w:val="20"/>
                <w:szCs w:val="20"/>
              </w:rPr>
              <w:t xml:space="preserve">&lt; 5 minutes</w:t>
            </w:r>
          </w:p>
        </w:tc>
        <w:tc>
          <w:tcPr>
            <w:tcMar>
              <w:top w:type="dxa" w:w="50"/>
              <w:left w:type="dxa" w:w="100"/>
              <w:bottom w:type="dxa" w:w="50"/>
              <w:right w:type="dxa" w:w="100"/>
            </w:tcMar>
          </w:tcPr>
          <w:p>
            <w:r>
              <w:rPr>
                <w:rFonts w:ascii="Times New Roman"/>
                <w:color w:val="1A1A1A"/>
                <w:sz w:val="20"/>
                <w:szCs w:val="20"/>
              </w:rPr>
              <w:t xml:space="preserve">0 (sync replication)</w:t>
            </w:r>
          </w:p>
        </w:tc>
        <w:tc>
          <w:tcPr>
            <w:tcMar>
              <w:top w:type="dxa" w:w="50"/>
              <w:left w:type="dxa" w:w="100"/>
              <w:bottom w:type="dxa" w:w="50"/>
              <w:right w:type="dxa" w:w="100"/>
            </w:tcMar>
          </w:tcPr>
          <w:p>
            <w:r>
              <w:rPr>
                <w:rFonts w:ascii="Times New Roman"/>
                <w:color w:val="1A1A1A"/>
                <w:sz w:val="20"/>
                <w:szCs w:val="20"/>
              </w:rPr>
              <w:t xml:space="preserve">Multi-AZ failover</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Full region failure</w:t>
            </w:r>
          </w:p>
        </w:tc>
        <w:tc>
          <w:tcPr>
            <w:shd w:fill="EDF3F5" w:val="clear"/>
            <w:tcMar>
              <w:top w:type="dxa" w:w="50"/>
              <w:left w:type="dxa" w:w="100"/>
              <w:bottom w:type="dxa" w:w="50"/>
              <w:right w:type="dxa" w:w="100"/>
            </w:tcMar>
          </w:tcPr>
          <w:p>
            <w:r>
              <w:rPr>
                <w:rFonts w:ascii="Times New Roman"/>
                <w:color w:val="1A1A1A"/>
                <w:sz w:val="20"/>
                <w:szCs w:val="20"/>
              </w:rPr>
              <w:t xml:space="preserve">&lt; 5 minutes</w:t>
            </w:r>
          </w:p>
        </w:tc>
        <w:tc>
          <w:tcPr>
            <w:shd w:fill="EDF3F5" w:val="clear"/>
            <w:tcMar>
              <w:top w:type="dxa" w:w="50"/>
              <w:left w:type="dxa" w:w="100"/>
              <w:bottom w:type="dxa" w:w="50"/>
              <w:right w:type="dxa" w:w="100"/>
            </w:tcMar>
          </w:tcPr>
          <w:p>
            <w:r>
              <w:rPr>
                <w:rFonts w:ascii="Times New Roman"/>
                <w:color w:val="1A1A1A"/>
                <w:sz w:val="20"/>
                <w:szCs w:val="20"/>
              </w:rPr>
              <w:t xml:space="preserve">&lt; 30 seconds</w:t>
            </w:r>
          </w:p>
        </w:tc>
        <w:tc>
          <w:tcPr>
            <w:shd w:fill="EDF3F5" w:val="clear"/>
            <w:tcMar>
              <w:top w:type="dxa" w:w="50"/>
              <w:left w:type="dxa" w:w="100"/>
              <w:bottom w:type="dxa" w:w="50"/>
              <w:right w:type="dxa" w:w="100"/>
            </w:tcMar>
          </w:tcPr>
          <w:p>
            <w:r>
              <w:rPr>
                <w:rFonts w:ascii="Times New Roman"/>
                <w:color w:val="1A1A1A"/>
                <w:sz w:val="20"/>
                <w:szCs w:val="20"/>
              </w:rPr>
              <w:t xml:space="preserve">DR region activation</w:t>
            </w:r>
          </w:p>
        </w:tc>
      </w:tr>
      <w:tr>
        <w:trPr>
          <w:cantSplit/>
        </w:trPr>
        <w:tc>
          <w:tcPr>
            <w:tcMar>
              <w:top w:type="dxa" w:w="50"/>
              <w:left w:type="dxa" w:w="100"/>
              <w:bottom w:type="dxa" w:w="50"/>
              <w:right w:type="dxa" w:w="100"/>
            </w:tcMar>
          </w:tcPr>
          <w:p>
            <w:r>
              <w:rPr>
                <w:rFonts w:ascii="Times New Roman"/>
                <w:color w:val="1A1A1A"/>
                <w:sz w:val="20"/>
                <w:szCs w:val="20"/>
              </w:rPr>
              <w:t xml:space="preserve">Database primary failure</w:t>
            </w:r>
          </w:p>
        </w:tc>
        <w:tc>
          <w:tcPr>
            <w:tcMar>
              <w:top w:type="dxa" w:w="50"/>
              <w:left w:type="dxa" w:w="100"/>
              <w:bottom w:type="dxa" w:w="50"/>
              <w:right w:type="dxa" w:w="100"/>
            </w:tcMar>
          </w:tcPr>
          <w:p>
            <w:r>
              <w:rPr>
                <w:rFonts w:ascii="Times New Roman"/>
                <w:color w:val="1A1A1A"/>
                <w:sz w:val="20"/>
                <w:szCs w:val="20"/>
              </w:rPr>
              <w:t xml:space="preserve">&lt; 1 minute</w:t>
            </w:r>
          </w:p>
        </w:tc>
        <w:tc>
          <w:tcPr>
            <w:tcMar>
              <w:top w:type="dxa" w:w="50"/>
              <w:left w:type="dxa" w:w="100"/>
              <w:bottom w:type="dxa" w:w="50"/>
              <w:right w:type="dxa" w:w="100"/>
            </w:tcMar>
          </w:tcPr>
          <w:p>
            <w:r>
              <w:rPr>
                <w:rFonts w:ascii="Times New Roman"/>
                <w:color w:val="1A1A1A"/>
                <w:sz w:val="20"/>
                <w:szCs w:val="20"/>
              </w:rPr>
              <w:t xml:space="preserve">0 (sync replication)</w:t>
            </w:r>
          </w:p>
        </w:tc>
        <w:tc>
          <w:tcPr>
            <w:tcMar>
              <w:top w:type="dxa" w:w="50"/>
              <w:left w:type="dxa" w:w="100"/>
              <w:bottom w:type="dxa" w:w="50"/>
              <w:right w:type="dxa" w:w="100"/>
            </w:tcMar>
          </w:tcPr>
          <w:p>
            <w:r>
              <w:rPr>
                <w:rFonts w:ascii="Times New Roman"/>
                <w:color w:val="1A1A1A"/>
                <w:sz w:val="20"/>
                <w:szCs w:val="20"/>
              </w:rPr>
              <w:t xml:space="preserve">Automatic failover to replica</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Matching engine failure</w:t>
            </w:r>
          </w:p>
        </w:tc>
        <w:tc>
          <w:tcPr>
            <w:shd w:fill="EDF3F5" w:val="clear"/>
            <w:tcMar>
              <w:top w:type="dxa" w:w="50"/>
              <w:left w:type="dxa" w:w="100"/>
              <w:bottom w:type="dxa" w:w="50"/>
              <w:right w:type="dxa" w:w="100"/>
            </w:tcMar>
          </w:tcPr>
          <w:p>
            <w:r>
              <w:rPr>
                <w:rFonts w:ascii="Times New Roman"/>
                <w:color w:val="1A1A1A"/>
                <w:sz w:val="20"/>
                <w:szCs w:val="20"/>
              </w:rPr>
              <w:t xml:space="preserve">&lt; 1 second</w:t>
            </w:r>
          </w:p>
        </w:tc>
        <w:tc>
          <w:tcPr>
            <w:shd w:fill="EDF3F5" w:val="clear"/>
            <w:tcMar>
              <w:top w:type="dxa" w:w="50"/>
              <w:left w:type="dxa" w:w="100"/>
              <w:bottom w:type="dxa" w:w="50"/>
              <w:right w:type="dxa" w:w="100"/>
            </w:tcMar>
          </w:tcPr>
          <w:p>
            <w:r>
              <w:rPr>
                <w:rFonts w:ascii="Times New Roman"/>
                <w:color w:val="1A1A1A"/>
                <w:sz w:val="20"/>
                <w:szCs w:val="20"/>
              </w:rPr>
              <w:t xml:space="preserve">0 (in-memory replication)</w:t>
            </w:r>
          </w:p>
        </w:tc>
        <w:tc>
          <w:tcPr>
            <w:shd w:fill="EDF3F5" w:val="clear"/>
            <w:tcMar>
              <w:top w:type="dxa" w:w="50"/>
              <w:left w:type="dxa" w:w="100"/>
              <w:bottom w:type="dxa" w:w="50"/>
              <w:right w:type="dxa" w:w="100"/>
            </w:tcMar>
          </w:tcPr>
          <w:p>
            <w:r>
              <w:rPr>
                <w:rFonts w:ascii="Times New Roman"/>
                <w:color w:val="1A1A1A"/>
                <w:sz w:val="20"/>
                <w:szCs w:val="20"/>
              </w:rPr>
              <w:t xml:space="preserve">Leader-follower promotion</w:t>
            </w:r>
          </w:p>
        </w:tc>
      </w:tr>
      <w:tr>
        <w:trPr>
          <w:cantSplit/>
        </w:trPr>
        <w:tc>
          <w:tcPr>
            <w:tcMar>
              <w:top w:type="dxa" w:w="50"/>
              <w:left w:type="dxa" w:w="100"/>
              <w:bottom w:type="dxa" w:w="50"/>
              <w:right w:type="dxa" w:w="100"/>
            </w:tcMar>
          </w:tcPr>
          <w:p>
            <w:r>
              <w:rPr>
                <w:rFonts w:ascii="Times New Roman"/>
                <w:color w:val="1A1A1A"/>
                <w:sz w:val="20"/>
                <w:szCs w:val="20"/>
              </w:rPr>
              <w:t xml:space="preserve">Hot wallet compromise</w:t>
            </w:r>
          </w:p>
        </w:tc>
        <w:tc>
          <w:tcPr>
            <w:tcMar>
              <w:top w:type="dxa" w:w="50"/>
              <w:left w:type="dxa" w:w="100"/>
              <w:bottom w:type="dxa" w:w="50"/>
              <w:right w:type="dxa" w:w="100"/>
            </w:tcMar>
          </w:tcPr>
          <w:p>
            <w:r>
              <w:rPr>
                <w:rFonts w:ascii="Times New Roman"/>
                <w:color w:val="1A1A1A"/>
                <w:sz w:val="20"/>
                <w:szCs w:val="20"/>
              </w:rPr>
              <w:t xml:space="preserve">&lt; 1 minute</w:t>
            </w:r>
          </w:p>
        </w:tc>
        <w:tc>
          <w:tcPr>
            <w:tcMar>
              <w:top w:type="dxa" w:w="50"/>
              <w:left w:type="dxa" w:w="100"/>
              <w:bottom w:type="dxa" w:w="50"/>
              <w:right w:type="dxa" w:w="100"/>
            </w:tcMar>
          </w:tcPr>
          <w:p>
            <w:r>
              <w:rPr>
                <w:rFonts w:ascii="Times New Roman"/>
                <w:color w:val="1A1A1A"/>
                <w:sz w:val="20"/>
                <w:szCs w:val="20"/>
              </w:rPr>
              <w:t xml:space="preserve">Variable (time-locked)</w:t>
            </w:r>
          </w:p>
        </w:tc>
        <w:tc>
          <w:tcPr>
            <w:tcMar>
              <w:top w:type="dxa" w:w="50"/>
              <w:left w:type="dxa" w:w="100"/>
              <w:bottom w:type="dxa" w:w="50"/>
              <w:right w:type="dxa" w:w="100"/>
            </w:tcMar>
          </w:tcPr>
          <w:p>
            <w:r>
              <w:rPr>
                <w:rFonts w:ascii="Times New Roman"/>
                <w:color w:val="1A1A1A"/>
                <w:sz w:val="20"/>
                <w:szCs w:val="20"/>
              </w:rPr>
              <w:t xml:space="preserve">Emergency freeze + audit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Ransomware attack</w:t>
            </w:r>
          </w:p>
        </w:tc>
        <w:tc>
          <w:tcPr>
            <w:shd w:fill="EDF3F5" w:val="clear"/>
            <w:tcMar>
              <w:top w:type="dxa" w:w="50"/>
              <w:left w:type="dxa" w:w="100"/>
              <w:bottom w:type="dxa" w:w="50"/>
              <w:right w:type="dxa" w:w="100"/>
            </w:tcMar>
          </w:tcPr>
          <w:p>
            <w:r>
              <w:rPr>
                <w:rFonts w:ascii="Times New Roman"/>
                <w:color w:val="1A1A1A"/>
                <w:sz w:val="20"/>
                <w:szCs w:val="20"/>
              </w:rPr>
              <w:t xml:space="preserve">&lt; 4 hours</w:t>
            </w:r>
          </w:p>
        </w:tc>
        <w:tc>
          <w:tcPr>
            <w:shd w:fill="EDF3F5" w:val="clear"/>
            <w:tcMar>
              <w:top w:type="dxa" w:w="50"/>
              <w:left w:type="dxa" w:w="100"/>
              <w:bottom w:type="dxa" w:w="50"/>
              <w:right w:type="dxa" w:w="100"/>
            </w:tcMar>
          </w:tcPr>
          <w:p>
            <w:r>
              <w:rPr>
                <w:rFonts w:ascii="Times New Roman"/>
                <w:color w:val="1A1A1A"/>
                <w:sz w:val="20"/>
                <w:szCs w:val="20"/>
              </w:rPr>
              <w:t xml:space="preserve">&lt; 1 hour (PITR)</w:t>
            </w:r>
          </w:p>
        </w:tc>
        <w:tc>
          <w:tcPr>
            <w:shd w:fill="EDF3F5" w:val="clear"/>
            <w:tcMar>
              <w:top w:type="dxa" w:w="50"/>
              <w:left w:type="dxa" w:w="100"/>
              <w:bottom w:type="dxa" w:w="50"/>
              <w:right w:type="dxa" w:w="100"/>
            </w:tcMar>
          </w:tcPr>
          <w:p>
            <w:r>
              <w:rPr>
                <w:rFonts w:ascii="Times New Roman"/>
                <w:color w:val="1A1A1A"/>
                <w:sz w:val="20"/>
                <w:szCs w:val="20"/>
              </w:rPr>
              <w:t xml:space="preserve">Clean restore from backups</w:t>
            </w:r>
          </w:p>
        </w:tc>
      </w:tr>
    </w:tbl>
    <w:p>
      <w:pPr>
        <w:spacing w:after="60" w:before="60"/>
      </w:pPr>
    </w:p>
    <w:p>
      <w:pPr>
        <w:pStyle w:val="Heading1"/>
        <w:spacing w:after="200" w:before="480" w:line="312"/>
      </w:pPr>
      <w:bookmarkStart w:id="100110" w:name="_Toc100110"/>
      <w:r>
        <w:rPr>
          <w:rFonts w:ascii="Times New Roman"/>
          <w:b/>
          <w:bCs/>
          <w:color w:val="0F2027"/>
          <w:sz w:val="36"/>
          <w:szCs w:val="36"/>
        </w:rPr>
        <w:t xml:space="preserve">Section 19: Team Structure</w:t>
      </w:r>
      <w:bookmarkEnd w:id="100110"/>
    </w:p>
    <w:p>
      <w:pPr>
        <w:pStyle w:val="Heading2"/>
        <w:spacing w:after="160" w:before="360" w:line="312"/>
      </w:pPr>
      <w:bookmarkStart w:id="100111" w:name="_Toc100111"/>
      <w:r>
        <w:rPr>
          <w:rFonts w:ascii="Times New Roman"/>
          <w:b/>
          <w:bCs/>
          <w:color w:val="0F2027"/>
          <w:sz w:val="30"/>
          <w:szCs w:val="30"/>
        </w:rPr>
        <w:t xml:space="preserve">19.1 Engineering Teams</w:t>
      </w:r>
      <w:bookmarkEnd w:id="100111"/>
    </w:p>
    <w:p>
      <w:pPr>
        <w:spacing w:after="120" w:line="312"/>
        <w:jc w:val="both"/>
      </w:pPr>
      <w:r>
        <w:rPr>
          <w:rFonts w:ascii="Times New Roman"/>
          <w:color w:val="1A1A1A"/>
          <w:sz w:val="22"/>
          <w:szCs w:val="22"/>
        </w:rPr>
        <w:t xml:space="preserve">The engineering organization is structured into autonomous, cross-functional squads of 8-12 engineers, each owning a specific domain or product area. Squads follow the You Build It, You Run It philosophy, where the team responsible for developing a service is also responsible for its production reliability, monitoring, and incident response. Each squad has a Tech Lead (senior engineer), Product Manager, and dedicated DevOps/Reliability engineer, with shared access to platform engineering, security, and design resources.</w:t>
      </w:r>
    </w:p>
    <w:p>
      <w:pPr>
        <w:keepNext/>
        <w:spacing w:after="80" w:before="200" w:line="312"/>
      </w:pPr>
      <w:r>
        <w:rPr>
          <w:rFonts w:ascii="Times New Roman"/>
          <w:b/>
          <w:bCs/>
          <w:i/>
          <w:iCs/>
          <w:color w:val="4A6575"/>
          <w:sz w:val="20"/>
          <w:szCs w:val="20"/>
        </w:rPr>
        <w:t xml:space="preserve">Table 19.1: Core Engineering Squads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Squad</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Domain</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Key Responsibilities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Headcount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Matching Engine</w:t>
            </w:r>
          </w:p>
        </w:tc>
        <w:tc>
          <w:tcPr>
            <w:shd w:fill="EDF3F5" w:val="clear"/>
            <w:tcMar>
              <w:top w:type="dxa" w:w="50"/>
              <w:left w:type="dxa" w:w="100"/>
              <w:bottom w:type="dxa" w:w="50"/>
              <w:right w:type="dxa" w:w="100"/>
            </w:tcMar>
          </w:tcPr>
          <w:p>
            <w:r>
              <w:rPr>
                <w:rFonts w:ascii="Times New Roman"/>
                <w:color w:val="1A1A1A"/>
                <w:sz w:val="20"/>
                <w:szCs w:val="20"/>
              </w:rPr>
              <w:t xml:space="preserve">Trading Core</w:t>
            </w:r>
          </w:p>
        </w:tc>
        <w:tc>
          <w:tcPr>
            <w:shd w:fill="EDF3F5" w:val="clear"/>
            <w:tcMar>
              <w:top w:type="dxa" w:w="50"/>
              <w:left w:type="dxa" w:w="100"/>
              <w:bottom w:type="dxa" w:w="50"/>
              <w:right w:type="dxa" w:w="100"/>
            </w:tcMar>
          </w:tcPr>
          <w:p>
            <w:r>
              <w:rPr>
                <w:rFonts w:ascii="Times New Roman"/>
                <w:color w:val="1A1A1A"/>
                <w:sz w:val="20"/>
                <w:szCs w:val="20"/>
              </w:rPr>
              <w:t xml:space="preserve">Order book, matching, trade execution</w:t>
            </w:r>
          </w:p>
        </w:tc>
        <w:tc>
          <w:tcPr>
            <w:shd w:fill="EDF3F5" w:val="clear"/>
            <w:tcMar>
              <w:top w:type="dxa" w:w="50"/>
              <w:left w:type="dxa" w:w="100"/>
              <w:bottom w:type="dxa" w:w="50"/>
              <w:right w:type="dxa" w:w="100"/>
            </w:tcMar>
          </w:tcPr>
          <w:p>
            <w:r>
              <w:rPr>
                <w:rFonts w:ascii="Times New Roman"/>
                <w:color w:val="1A1A1A"/>
                <w:sz w:val="20"/>
                <w:szCs w:val="20"/>
              </w:rPr>
              <w:t xml:space="preserve">12-15</w:t>
            </w:r>
          </w:p>
        </w:tc>
      </w:tr>
      <w:tr>
        <w:trPr>
          <w:cantSplit/>
        </w:trPr>
        <w:tc>
          <w:tcPr>
            <w:tcMar>
              <w:top w:type="dxa" w:w="50"/>
              <w:left w:type="dxa" w:w="100"/>
              <w:bottom w:type="dxa" w:w="50"/>
              <w:right w:type="dxa" w:w="100"/>
            </w:tcMar>
          </w:tcPr>
          <w:p>
            <w:r>
              <w:rPr>
                <w:rFonts w:ascii="Times New Roman"/>
                <w:color w:val="1A1A1A"/>
                <w:sz w:val="20"/>
                <w:szCs w:val="20"/>
              </w:rPr>
              <w:t xml:space="preserve">Trading API</w:t>
            </w:r>
          </w:p>
        </w:tc>
        <w:tc>
          <w:tcPr>
            <w:tcMar>
              <w:top w:type="dxa" w:w="50"/>
              <w:left w:type="dxa" w:w="100"/>
              <w:bottom w:type="dxa" w:w="50"/>
              <w:right w:type="dxa" w:w="100"/>
            </w:tcMar>
          </w:tcPr>
          <w:p>
            <w:r>
              <w:rPr>
                <w:rFonts w:ascii="Times New Roman"/>
                <w:color w:val="1A1A1A"/>
                <w:sz w:val="20"/>
                <w:szCs w:val="20"/>
              </w:rPr>
              <w:t xml:space="preserve">Client Services</w:t>
            </w:r>
          </w:p>
        </w:tc>
        <w:tc>
          <w:tcPr>
            <w:tcMar>
              <w:top w:type="dxa" w:w="50"/>
              <w:left w:type="dxa" w:w="100"/>
              <w:bottom w:type="dxa" w:w="50"/>
              <w:right w:type="dxa" w:w="100"/>
            </w:tcMar>
          </w:tcPr>
          <w:p>
            <w:r>
              <w:rPr>
                <w:rFonts w:ascii="Times New Roman"/>
                <w:color w:val="1A1A1A"/>
                <w:sz w:val="20"/>
                <w:szCs w:val="20"/>
              </w:rPr>
              <w:t xml:space="preserve">REST/WebSocket/FIX APIs</w:t>
            </w:r>
          </w:p>
        </w:tc>
        <w:tc>
          <w:tcPr>
            <w:tcMar>
              <w:top w:type="dxa" w:w="50"/>
              <w:left w:type="dxa" w:w="100"/>
              <w:bottom w:type="dxa" w:w="50"/>
              <w:right w:type="dxa" w:w="100"/>
            </w:tcMar>
          </w:tcPr>
          <w:p>
            <w:r>
              <w:rPr>
                <w:rFonts w:ascii="Times New Roman"/>
                <w:color w:val="1A1A1A"/>
                <w:sz w:val="20"/>
                <w:szCs w:val="20"/>
              </w:rPr>
              <w:t xml:space="preserve">10-12</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Wallet Core</w:t>
            </w:r>
          </w:p>
        </w:tc>
        <w:tc>
          <w:tcPr>
            <w:shd w:fill="EDF3F5" w:val="clear"/>
            <w:tcMar>
              <w:top w:type="dxa" w:w="50"/>
              <w:left w:type="dxa" w:w="100"/>
              <w:bottom w:type="dxa" w:w="50"/>
              <w:right w:type="dxa" w:w="100"/>
            </w:tcMar>
          </w:tcPr>
          <w:p>
            <w:r>
              <w:rPr>
                <w:rFonts w:ascii="Times New Roman"/>
                <w:color w:val="1A1A1A"/>
                <w:sz w:val="20"/>
                <w:szCs w:val="20"/>
              </w:rPr>
              <w:t xml:space="preserve">Wallet Infrastructure</w:t>
            </w:r>
          </w:p>
        </w:tc>
        <w:tc>
          <w:tcPr>
            <w:shd w:fill="EDF3F5" w:val="clear"/>
            <w:tcMar>
              <w:top w:type="dxa" w:w="50"/>
              <w:left w:type="dxa" w:w="100"/>
              <w:bottom w:type="dxa" w:w="50"/>
              <w:right w:type="dxa" w:w="100"/>
            </w:tcMar>
          </w:tcPr>
          <w:p>
            <w:r>
              <w:rPr>
                <w:rFonts w:ascii="Times New Roman"/>
                <w:color w:val="1A1A1A"/>
                <w:sz w:val="20"/>
                <w:szCs w:val="20"/>
              </w:rPr>
              <w:t xml:space="preserve">Balance, deposits, withdrawals</w:t>
            </w:r>
          </w:p>
        </w:tc>
        <w:tc>
          <w:tcPr>
            <w:shd w:fill="EDF3F5" w:val="clear"/>
            <w:tcMar>
              <w:top w:type="dxa" w:w="50"/>
              <w:left w:type="dxa" w:w="100"/>
              <w:bottom w:type="dxa" w:w="50"/>
              <w:right w:type="dxa" w:w="100"/>
            </w:tcMar>
          </w:tcPr>
          <w:p>
            <w:r>
              <w:rPr>
                <w:rFonts w:ascii="Times New Roman"/>
                <w:color w:val="1A1A1A"/>
                <w:sz w:val="20"/>
                <w:szCs w:val="20"/>
              </w:rPr>
              <w:t xml:space="preserve">12-15</w:t>
            </w:r>
          </w:p>
        </w:tc>
      </w:tr>
      <w:tr>
        <w:trPr>
          <w:cantSplit/>
        </w:trPr>
        <w:tc>
          <w:tcPr>
            <w:tcMar>
              <w:top w:type="dxa" w:w="50"/>
              <w:left w:type="dxa" w:w="100"/>
              <w:bottom w:type="dxa" w:w="50"/>
              <w:right w:type="dxa" w:w="100"/>
            </w:tcMar>
          </w:tcPr>
          <w:p>
            <w:r>
              <w:rPr>
                <w:rFonts w:ascii="Times New Roman"/>
                <w:color w:val="1A1A1A"/>
                <w:sz w:val="20"/>
                <w:szCs w:val="20"/>
              </w:rPr>
              <w:t xml:space="preserve">Custody</w:t>
            </w:r>
          </w:p>
        </w:tc>
        <w:tc>
          <w:tcPr>
            <w:tcMar>
              <w:top w:type="dxa" w:w="50"/>
              <w:left w:type="dxa" w:w="100"/>
              <w:bottom w:type="dxa" w:w="50"/>
              <w:right w:type="dxa" w:w="100"/>
            </w:tcMar>
          </w:tcPr>
          <w:p>
            <w:r>
              <w:rPr>
                <w:rFonts w:ascii="Times New Roman"/>
                <w:color w:val="1A1A1A"/>
                <w:sz w:val="20"/>
                <w:szCs w:val="20"/>
              </w:rPr>
              <w:t xml:space="preserve">Key Management</w:t>
            </w:r>
          </w:p>
        </w:tc>
        <w:tc>
          <w:tcPr>
            <w:tcMar>
              <w:top w:type="dxa" w:w="50"/>
              <w:left w:type="dxa" w:w="100"/>
              <w:bottom w:type="dxa" w:w="50"/>
              <w:right w:type="dxa" w:w="100"/>
            </w:tcMar>
          </w:tcPr>
          <w:p>
            <w:r>
              <w:rPr>
                <w:rFonts w:ascii="Times New Roman"/>
                <w:color w:val="1A1A1A"/>
                <w:sz w:val="20"/>
                <w:szCs w:val="20"/>
              </w:rPr>
              <w:t xml:space="preserve">HSM, MPC, cold wallet</w:t>
            </w:r>
          </w:p>
        </w:tc>
        <w:tc>
          <w:tcPr>
            <w:tcMar>
              <w:top w:type="dxa" w:w="50"/>
              <w:left w:type="dxa" w:w="100"/>
              <w:bottom w:type="dxa" w:w="50"/>
              <w:right w:type="dxa" w:w="100"/>
            </w:tcMar>
          </w:tcPr>
          <w:p>
            <w:r>
              <w:rPr>
                <w:rFonts w:ascii="Times New Roman"/>
                <w:color w:val="1A1A1A"/>
                <w:sz w:val="20"/>
                <w:szCs w:val="20"/>
              </w:rPr>
              <w:t xml:space="preserve">8-10</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Market Data</w:t>
            </w:r>
          </w:p>
        </w:tc>
        <w:tc>
          <w:tcPr>
            <w:shd w:fill="EDF3F5" w:val="clear"/>
            <w:tcMar>
              <w:top w:type="dxa" w:w="50"/>
              <w:left w:type="dxa" w:w="100"/>
              <w:bottom w:type="dxa" w:w="50"/>
              <w:right w:type="dxa" w:w="100"/>
            </w:tcMar>
          </w:tcPr>
          <w:p>
            <w:r>
              <w:rPr>
                <w:rFonts w:ascii="Times New Roman"/>
                <w:color w:val="1A1A1A"/>
                <w:sz w:val="20"/>
                <w:szCs w:val="20"/>
              </w:rPr>
              <w:t xml:space="preserve">Data Services</w:t>
            </w:r>
          </w:p>
        </w:tc>
        <w:tc>
          <w:tcPr>
            <w:shd w:fill="EDF3F5" w:val="clear"/>
            <w:tcMar>
              <w:top w:type="dxa" w:w="50"/>
              <w:left w:type="dxa" w:w="100"/>
              <w:bottom w:type="dxa" w:w="50"/>
              <w:right w:type="dxa" w:w="100"/>
            </w:tcMar>
          </w:tcPr>
          <w:p>
            <w:r>
              <w:rPr>
                <w:rFonts w:ascii="Times New Roman"/>
                <w:color w:val="1A1A1A"/>
                <w:sz w:val="20"/>
                <w:szCs w:val="20"/>
              </w:rPr>
              <w:t xml:space="preserve">Price feeds, charts, analytics</w:t>
            </w:r>
          </w:p>
        </w:tc>
        <w:tc>
          <w:tcPr>
            <w:shd w:fill="EDF3F5" w:val="clear"/>
            <w:tcMar>
              <w:top w:type="dxa" w:w="50"/>
              <w:left w:type="dxa" w:w="100"/>
              <w:bottom w:type="dxa" w:w="50"/>
              <w:right w:type="dxa" w:w="100"/>
            </w:tcMar>
          </w:tcPr>
          <w:p>
            <w:r>
              <w:rPr>
                <w:rFonts w:ascii="Times New Roman"/>
                <w:color w:val="1A1A1A"/>
                <w:sz w:val="20"/>
                <w:szCs w:val="20"/>
              </w:rPr>
              <w:t xml:space="preserve">8-10</w:t>
            </w:r>
          </w:p>
        </w:tc>
      </w:tr>
      <w:tr>
        <w:trPr>
          <w:cantSplit/>
        </w:trPr>
        <w:tc>
          <w:tcPr>
            <w:tcMar>
              <w:top w:type="dxa" w:w="50"/>
              <w:left w:type="dxa" w:w="100"/>
              <w:bottom w:type="dxa" w:w="50"/>
              <w:right w:type="dxa" w:w="100"/>
            </w:tcMar>
          </w:tcPr>
          <w:p>
            <w:r>
              <w:rPr>
                <w:rFonts w:ascii="Times New Roman"/>
                <w:color w:val="1A1A1A"/>
                <w:sz w:val="20"/>
                <w:szCs w:val="20"/>
              </w:rPr>
              <w:t xml:space="preserve">User Platform</w:t>
            </w:r>
          </w:p>
        </w:tc>
        <w:tc>
          <w:tcPr>
            <w:tcMar>
              <w:top w:type="dxa" w:w="50"/>
              <w:left w:type="dxa" w:w="100"/>
              <w:bottom w:type="dxa" w:w="50"/>
              <w:right w:type="dxa" w:w="100"/>
            </w:tcMar>
          </w:tcPr>
          <w:p>
            <w:r>
              <w:rPr>
                <w:rFonts w:ascii="Times New Roman"/>
                <w:color w:val="1A1A1A"/>
                <w:sz w:val="20"/>
                <w:szCs w:val="20"/>
              </w:rPr>
              <w:t xml:space="preserve">User Services</w:t>
            </w:r>
          </w:p>
        </w:tc>
        <w:tc>
          <w:tcPr>
            <w:tcMar>
              <w:top w:type="dxa" w:w="50"/>
              <w:left w:type="dxa" w:w="100"/>
              <w:bottom w:type="dxa" w:w="50"/>
              <w:right w:type="dxa" w:w="100"/>
            </w:tcMar>
          </w:tcPr>
          <w:p>
            <w:r>
              <w:rPr>
                <w:rFonts w:ascii="Times New Roman"/>
                <w:color w:val="1A1A1A"/>
                <w:sz w:val="20"/>
                <w:szCs w:val="20"/>
              </w:rPr>
              <w:t xml:space="preserve">Auth, KYC, profiles</w:t>
            </w:r>
          </w:p>
        </w:tc>
        <w:tc>
          <w:tcPr>
            <w:tcMar>
              <w:top w:type="dxa" w:w="50"/>
              <w:left w:type="dxa" w:w="100"/>
              <w:bottom w:type="dxa" w:w="50"/>
              <w:right w:type="dxa" w:w="100"/>
            </w:tcMar>
          </w:tcPr>
          <w:p>
            <w:r>
              <w:rPr>
                <w:rFonts w:ascii="Times New Roman"/>
                <w:color w:val="1A1A1A"/>
                <w:sz w:val="20"/>
                <w:szCs w:val="20"/>
              </w:rPr>
              <w:t xml:space="preserve">10-12</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Compliance Tech</w:t>
            </w:r>
          </w:p>
        </w:tc>
        <w:tc>
          <w:tcPr>
            <w:shd w:fill="EDF3F5" w:val="clear"/>
            <w:tcMar>
              <w:top w:type="dxa" w:w="50"/>
              <w:left w:type="dxa" w:w="100"/>
              <w:bottom w:type="dxa" w:w="50"/>
              <w:right w:type="dxa" w:w="100"/>
            </w:tcMar>
          </w:tcPr>
          <w:p>
            <w:r>
              <w:rPr>
                <w:rFonts w:ascii="Times New Roman"/>
                <w:color w:val="1A1A1A"/>
                <w:sz w:val="20"/>
                <w:szCs w:val="20"/>
              </w:rPr>
              <w:t xml:space="preserve">Compliance</w:t>
            </w:r>
          </w:p>
        </w:tc>
        <w:tc>
          <w:tcPr>
            <w:shd w:fill="EDF3F5" w:val="clear"/>
            <w:tcMar>
              <w:top w:type="dxa" w:w="50"/>
              <w:left w:type="dxa" w:w="100"/>
              <w:bottom w:type="dxa" w:w="50"/>
              <w:right w:type="dxa" w:w="100"/>
            </w:tcMar>
          </w:tcPr>
          <w:p>
            <w:r>
              <w:rPr>
                <w:rFonts w:ascii="Times New Roman"/>
                <w:color w:val="1A1A1A"/>
                <w:sz w:val="20"/>
                <w:szCs w:val="20"/>
              </w:rPr>
              <w:t xml:space="preserve">AML, KYC, screening</w:t>
            </w:r>
          </w:p>
        </w:tc>
        <w:tc>
          <w:tcPr>
            <w:shd w:fill="EDF3F5" w:val="clear"/>
            <w:tcMar>
              <w:top w:type="dxa" w:w="50"/>
              <w:left w:type="dxa" w:w="100"/>
              <w:bottom w:type="dxa" w:w="50"/>
              <w:right w:type="dxa" w:w="100"/>
            </w:tcMar>
          </w:tcPr>
          <w:p>
            <w:r>
              <w:rPr>
                <w:rFonts w:ascii="Times New Roman"/>
                <w:color w:val="1A1A1A"/>
                <w:sz w:val="20"/>
                <w:szCs w:val="20"/>
              </w:rPr>
              <w:t xml:space="preserve">8-10</w:t>
            </w:r>
          </w:p>
        </w:tc>
      </w:tr>
      <w:tr>
        <w:trPr>
          <w:cantSplit/>
        </w:trPr>
        <w:tc>
          <w:tcPr>
            <w:tcMar>
              <w:top w:type="dxa" w:w="50"/>
              <w:left w:type="dxa" w:w="100"/>
              <w:bottom w:type="dxa" w:w="50"/>
              <w:right w:type="dxa" w:w="100"/>
            </w:tcMar>
          </w:tcPr>
          <w:p>
            <w:r>
              <w:rPr>
                <w:rFonts w:ascii="Times New Roman"/>
                <w:color w:val="1A1A1A"/>
                <w:sz w:val="20"/>
                <w:szCs w:val="20"/>
              </w:rPr>
              <w:t xml:space="preserve">Risk Engine</w:t>
            </w:r>
          </w:p>
        </w:tc>
        <w:tc>
          <w:tcPr>
            <w:tcMar>
              <w:top w:type="dxa" w:w="50"/>
              <w:left w:type="dxa" w:w="100"/>
              <w:bottom w:type="dxa" w:w="50"/>
              <w:right w:type="dxa" w:w="100"/>
            </w:tcMar>
          </w:tcPr>
          <w:p>
            <w:r>
              <w:rPr>
                <w:rFonts w:ascii="Times New Roman"/>
                <w:color w:val="1A1A1A"/>
                <w:sz w:val="20"/>
                <w:szCs w:val="20"/>
              </w:rPr>
              <w:t xml:space="preserve">Risk Management</w:t>
            </w:r>
          </w:p>
        </w:tc>
        <w:tc>
          <w:tcPr>
            <w:tcMar>
              <w:top w:type="dxa" w:w="50"/>
              <w:left w:type="dxa" w:w="100"/>
              <w:bottom w:type="dxa" w:w="50"/>
              <w:right w:type="dxa" w:w="100"/>
            </w:tcMar>
          </w:tcPr>
          <w:p>
            <w:r>
              <w:rPr>
                <w:rFonts w:ascii="Times New Roman"/>
                <w:color w:val="1A1A1A"/>
                <w:sz w:val="20"/>
                <w:szCs w:val="20"/>
              </w:rPr>
              <w:t xml:space="preserve">Liquidation, margin, insurance</w:t>
            </w:r>
          </w:p>
        </w:tc>
        <w:tc>
          <w:tcPr>
            <w:tcMar>
              <w:top w:type="dxa" w:w="50"/>
              <w:left w:type="dxa" w:w="100"/>
              <w:bottom w:type="dxa" w:w="50"/>
              <w:right w:type="dxa" w:w="100"/>
            </w:tcMar>
          </w:tcPr>
          <w:p>
            <w:r>
              <w:rPr>
                <w:rFonts w:ascii="Times New Roman"/>
                <w:color w:val="1A1A1A"/>
                <w:sz w:val="20"/>
                <w:szCs w:val="20"/>
              </w:rPr>
              <w:t xml:space="preserve">10-12</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Mobile</w:t>
            </w:r>
          </w:p>
        </w:tc>
        <w:tc>
          <w:tcPr>
            <w:shd w:fill="EDF3F5" w:val="clear"/>
            <w:tcMar>
              <w:top w:type="dxa" w:w="50"/>
              <w:left w:type="dxa" w:w="100"/>
              <w:bottom w:type="dxa" w:w="50"/>
              <w:right w:type="dxa" w:w="100"/>
            </w:tcMar>
          </w:tcPr>
          <w:p>
            <w:r>
              <w:rPr>
                <w:rFonts w:ascii="Times New Roman"/>
                <w:color w:val="1A1A1A"/>
                <w:sz w:val="20"/>
                <w:szCs w:val="20"/>
              </w:rPr>
              <w:t xml:space="preserve">iOS + Android</w:t>
            </w:r>
          </w:p>
        </w:tc>
        <w:tc>
          <w:tcPr>
            <w:shd w:fill="EDF3F5" w:val="clear"/>
            <w:tcMar>
              <w:top w:type="dxa" w:w="50"/>
              <w:left w:type="dxa" w:w="100"/>
              <w:bottom w:type="dxa" w:w="50"/>
              <w:right w:type="dxa" w:w="100"/>
            </w:tcMar>
          </w:tcPr>
          <w:p>
            <w:r>
              <w:rPr>
                <w:rFonts w:ascii="Times New Roman"/>
                <w:color w:val="1A1A1A"/>
                <w:sz w:val="20"/>
                <w:szCs w:val="20"/>
              </w:rPr>
              <w:t xml:space="preserve">Native mobile applications</w:t>
            </w:r>
          </w:p>
        </w:tc>
        <w:tc>
          <w:tcPr>
            <w:shd w:fill="EDF3F5" w:val="clear"/>
            <w:tcMar>
              <w:top w:type="dxa" w:w="50"/>
              <w:left w:type="dxa" w:w="100"/>
              <w:bottom w:type="dxa" w:w="50"/>
              <w:right w:type="dxa" w:w="100"/>
            </w:tcMar>
          </w:tcPr>
          <w:p>
            <w:r>
              <w:rPr>
                <w:rFonts w:ascii="Times New Roman"/>
                <w:color w:val="1A1A1A"/>
                <w:sz w:val="20"/>
                <w:szCs w:val="20"/>
              </w:rPr>
              <w:t xml:space="preserve">12-15</w:t>
            </w:r>
          </w:p>
        </w:tc>
      </w:tr>
      <w:tr>
        <w:trPr>
          <w:cantSplit/>
        </w:trPr>
        <w:tc>
          <w:tcPr>
            <w:tcMar>
              <w:top w:type="dxa" w:w="50"/>
              <w:left w:type="dxa" w:w="100"/>
              <w:bottom w:type="dxa" w:w="50"/>
              <w:right w:type="dxa" w:w="100"/>
            </w:tcMar>
          </w:tcPr>
          <w:p>
            <w:r>
              <w:rPr>
                <w:rFonts w:ascii="Times New Roman"/>
                <w:color w:val="1A1A1A"/>
                <w:sz w:val="20"/>
                <w:szCs w:val="20"/>
              </w:rPr>
              <w:t xml:space="preserve">Platform Infra</w:t>
            </w:r>
          </w:p>
        </w:tc>
        <w:tc>
          <w:tcPr>
            <w:tcMar>
              <w:top w:type="dxa" w:w="50"/>
              <w:left w:type="dxa" w:w="100"/>
              <w:bottom w:type="dxa" w:w="50"/>
              <w:right w:type="dxa" w:w="100"/>
            </w:tcMar>
          </w:tcPr>
          <w:p>
            <w:r>
              <w:rPr>
                <w:rFonts w:ascii="Times New Roman"/>
                <w:color w:val="1A1A1A"/>
                <w:sz w:val="20"/>
                <w:szCs w:val="20"/>
              </w:rPr>
              <w:t xml:space="preserve">DevOps/SRE</w:t>
            </w:r>
          </w:p>
        </w:tc>
        <w:tc>
          <w:tcPr>
            <w:tcMar>
              <w:top w:type="dxa" w:w="50"/>
              <w:left w:type="dxa" w:w="100"/>
              <w:bottom w:type="dxa" w:w="50"/>
              <w:right w:type="dxa" w:w="100"/>
            </w:tcMar>
          </w:tcPr>
          <w:p>
            <w:r>
              <w:rPr>
                <w:rFonts w:ascii="Times New Roman"/>
                <w:color w:val="1A1A1A"/>
                <w:sz w:val="20"/>
                <w:szCs w:val="20"/>
              </w:rPr>
              <w:t xml:space="preserve">K8s, CI/CD, monitoring</w:t>
            </w:r>
          </w:p>
        </w:tc>
        <w:tc>
          <w:tcPr>
            <w:tcMar>
              <w:top w:type="dxa" w:w="50"/>
              <w:left w:type="dxa" w:w="100"/>
              <w:bottom w:type="dxa" w:w="50"/>
              <w:right w:type="dxa" w:w="100"/>
            </w:tcMar>
          </w:tcPr>
          <w:p>
            <w:r>
              <w:rPr>
                <w:rFonts w:ascii="Times New Roman"/>
                <w:color w:val="1A1A1A"/>
                <w:sz w:val="20"/>
                <w:szCs w:val="20"/>
              </w:rPr>
              <w:t xml:space="preserve">10-12</w:t>
            </w:r>
          </w:p>
        </w:tc>
      </w:tr>
    </w:tbl>
    <w:p>
      <w:pPr>
        <w:spacing w:after="60" w:before="60"/>
      </w:pPr>
    </w:p>
    <w:p>
      <w:pPr>
        <w:pStyle w:val="Heading2"/>
        <w:spacing w:after="160" w:before="360" w:line="312"/>
      </w:pPr>
      <w:bookmarkStart w:id="100112" w:name="_Toc100112"/>
      <w:r>
        <w:rPr>
          <w:rFonts w:ascii="Times New Roman"/>
          <w:b/>
          <w:bCs/>
          <w:color w:val="0F2027"/>
          <w:sz w:val="30"/>
          <w:szCs w:val="30"/>
        </w:rPr>
        <w:t xml:space="preserve">19.2 Security Team</w:t>
      </w:r>
      <w:bookmarkEnd w:id="100112"/>
    </w:p>
    <w:p>
      <w:pPr>
        <w:spacing w:after="120" w:line="312"/>
        <w:jc w:val="both"/>
      </w:pPr>
      <w:r>
        <w:rPr>
          <w:rFonts w:ascii="Times New Roman"/>
          <w:color w:val="1A1A1A"/>
          <w:sz w:val="22"/>
          <w:szCs w:val="22"/>
        </w:rPr>
        <w:t xml:space="preserve">The security team is organized into three sub-teams: Application Security (AppSec) responsible for secure development practices, code review, penetration testing, and vulnerability management; Infrastructure Security (InfraSec) responsible for network security, HSM management, access controls, and zero-trust implementation; and Security Operations (SecOps) responsible for 24/7 monitoring, incident response, threat intelligence, and security tooling. The Chief Information Security Officer (CISO) reports directly to the CEO and oversees all security functions. The security team maintains a bug bounty program with rewards up to USD 1,000,000 for critical vulnerabilities.</w:t>
      </w:r>
    </w:p>
    <w:p>
      <w:pPr>
        <w:pStyle w:val="Heading2"/>
        <w:spacing w:after="160" w:before="360" w:line="312"/>
      </w:pPr>
      <w:bookmarkStart w:id="100113" w:name="_Toc100113"/>
      <w:r>
        <w:rPr>
          <w:rFonts w:ascii="Times New Roman"/>
          <w:b/>
          <w:bCs/>
          <w:color w:val="0F2027"/>
          <w:sz w:val="30"/>
          <w:szCs w:val="30"/>
        </w:rPr>
        <w:t xml:space="preserve">19.3 DevOps and SRE Teams</w:t>
      </w:r>
      <w:bookmarkEnd w:id="100113"/>
    </w:p>
    <w:p>
      <w:pPr>
        <w:spacing w:after="120" w:line="312"/>
        <w:jc w:val="both"/>
      </w:pPr>
      <w:r>
        <w:rPr>
          <w:rFonts w:ascii="Times New Roman"/>
          <w:color w:val="1A1A1A"/>
          <w:sz w:val="22"/>
          <w:szCs w:val="22"/>
        </w:rPr>
        <w:t xml:space="preserve">The DevOps and Site Reliability Engineering (SRE) team operates as a platform team responsible for the shared infrastructure, CI/CD pipelines, monitoring stack, and disaster recovery procedures. The team follows SRE principles including Service Level Objectives (SLOs), error budgets, and blameless post-mortems. SLOs are defined for every critical service: trading engine availability &gt; 99.99%, API latency P99 &lt; 100ms, deposit processing within 3 confirmations. When error budgets are exhausted, the team shifts focus from feature development to reliability improvements.</w:t>
      </w:r>
    </w:p>
    <w:p>
      <w:pPr>
        <w:pStyle w:val="Heading2"/>
        <w:spacing w:after="160" w:before="360" w:line="312"/>
      </w:pPr>
      <w:bookmarkStart w:id="100114" w:name="_Toc100114"/>
      <w:r>
        <w:rPr>
          <w:rFonts w:ascii="Times New Roman"/>
          <w:b/>
          <w:bCs/>
          <w:color w:val="0F2027"/>
          <w:sz w:val="30"/>
          <w:szCs w:val="30"/>
        </w:rPr>
        <w:t xml:space="preserve">19.4 Compliance and Product Teams</w:t>
      </w:r>
      <w:bookmarkEnd w:id="100114"/>
    </w:p>
    <w:p>
      <w:pPr>
        <w:spacing w:after="120" w:line="312"/>
        <w:jc w:val="both"/>
      </w:pPr>
      <w:r>
        <w:rPr>
          <w:rFonts w:ascii="Times New Roman"/>
          <w:color w:val="1A1A1A"/>
          <w:sz w:val="22"/>
          <w:szCs w:val="22"/>
        </w:rPr>
        <w:t xml:space="preserve">The compliance team includes AML/KYC analysts, compliance officers, regulatory affairs specialists, and legal counsel covering each major jurisdiction. The team operates independently of the engineering organization with direct reporting to the Chief Compliance Officer (CCO). The product team consists of product managers, product designers, and user researchers organized by product vertical (Spot Trading, Derivatives, Earn, NFT, P2P). Each product manager owns a product roadmap, conducts user research, and collaborates closely with their engineering squad.</w:t>
      </w:r>
    </w:p>
    <w:p>
      <w:pPr>
        <w:pStyle w:val="Heading1"/>
        <w:spacing w:after="200" w:before="480" w:line="312"/>
      </w:pPr>
      <w:bookmarkStart w:id="100115" w:name="_Toc100115"/>
      <w:r>
        <w:rPr>
          <w:rFonts w:ascii="Times New Roman"/>
          <w:b/>
          <w:bCs/>
          <w:color w:val="0F2027"/>
          <w:sz w:val="36"/>
          <w:szCs w:val="36"/>
        </w:rPr>
        <w:t xml:space="preserve">Section 20: Development Roadmap</w:t>
      </w:r>
      <w:bookmarkEnd w:id="100115"/>
    </w:p>
    <w:p>
      <w:pPr>
        <w:pStyle w:val="Heading2"/>
        <w:spacing w:after="160" w:before="360" w:line="312"/>
      </w:pPr>
      <w:bookmarkStart w:id="100116" w:name="_Toc100116"/>
      <w:r>
        <w:rPr>
          <w:rFonts w:ascii="Times New Roman"/>
          <w:b/>
          <w:bCs/>
          <w:color w:val="0F2027"/>
          <w:sz w:val="30"/>
          <w:szCs w:val="30"/>
        </w:rPr>
        <w:t xml:space="preserve">20.1 Phase 1: Foundation (Months 1-6)</w:t>
      </w:r>
      <w:bookmarkEnd w:id="100116"/>
    </w:p>
    <w:p>
      <w:pPr>
        <w:spacing w:after="120" w:line="312"/>
        <w:jc w:val="both"/>
      </w:pPr>
      <w:r>
        <w:rPr>
          <w:rFonts w:ascii="Times New Roman"/>
          <w:color w:val="1A1A1A"/>
          <w:sz w:val="22"/>
          <w:szCs w:val="22"/>
        </w:rPr>
        <w:t xml:space="preserve">Phase 1 focuses on building the core infrastructure and launching the minimum viable exchange with spot trading capabilities. Deliverables include: user registration and authentication system with MFA, KYC Level 1 integration, spot trading with BTC/ETH/USDT pairs (minimum 10 pairs), basic matching engine (supporting market and limit orders), hot/cold wallet infrastructure for BTC and ETH, basic deposit and withdrawal processing, web trading interface, REST and WebSocket APIs, basic market data (candlesticks, order book, tickers), and regulatory registration in Singapore (MAS).</w:t>
      </w:r>
    </w:p>
    <w:p>
      <w:pPr>
        <w:spacing w:after="120" w:line="312"/>
        <w:jc w:val="both"/>
      </w:pPr>
      <w:r>
        <w:rPr>
          <w:rFonts w:ascii="Times New Roman"/>
          <w:color w:val="1A1A1A"/>
          <w:sz w:val="22"/>
          <w:szCs w:val="22"/>
        </w:rPr>
        <w:t xml:space="preserve">The team size during Phase 1 is approximately 80-100 engineers across core matching engine, wallet, user services, mobile (basic Android app), DevOps, security, and compliance. Total estimated budget: USD 15-20 million including infrastructure, licensing, legal, and operational costs. Key milestone: launch spot trading in beta with 5,000 invited users for controlled testing before public launch.</w:t>
      </w:r>
    </w:p>
    <w:p>
      <w:pPr>
        <w:pStyle w:val="Heading2"/>
        <w:spacing w:after="160" w:before="360" w:line="312"/>
      </w:pPr>
      <w:bookmarkStart w:id="100117" w:name="_Toc100117"/>
      <w:r>
        <w:rPr>
          <w:rFonts w:ascii="Times New Roman"/>
          <w:b/>
          <w:bCs/>
          <w:color w:val="0F2027"/>
          <w:sz w:val="30"/>
          <w:szCs w:val="30"/>
        </w:rPr>
        <w:t xml:space="preserve">20.2 Phase 2: Expansion (Months 7-12)</w:t>
      </w:r>
      <w:bookmarkEnd w:id="100117"/>
    </w:p>
    <w:p>
      <w:pPr>
        <w:spacing w:after="120" w:line="312"/>
        <w:jc w:val="both"/>
      </w:pPr>
      <w:r>
        <w:rPr>
          <w:rFonts w:ascii="Times New Roman"/>
          <w:color w:val="1A1A1A"/>
          <w:sz w:val="22"/>
          <w:szCs w:val="22"/>
        </w:rPr>
        <w:t xml:space="preserve">Phase 2 expands the trading product suite and geographic coverage. Deliverables include: margin trading (cross and isolated), futures trading (perpetual), 50+ trading pairs, iOS app launch, staking and earn products (basic), P2P trading, institutional API (FIX protocol), advanced order types (stop, OCO, iceberg), referral and affiliate programs, regulatory expansion (EU MiCA, UK FCA, Hong Kong SFC), and enhanced compliance (Travel Rule, enhanced AML). Team grows to 200-250 engineers. Budget: USD 30-40 million.</w:t>
      </w:r>
    </w:p>
    <w:p>
      <w:pPr>
        <w:pStyle w:val="Heading2"/>
        <w:spacing w:after="160" w:before="360" w:line="312"/>
      </w:pPr>
      <w:bookmarkStart w:id="100118" w:name="_Toc100118"/>
      <w:r>
        <w:rPr>
          <w:rFonts w:ascii="Times New Roman"/>
          <w:b/>
          <w:bCs/>
          <w:color w:val="0F2027"/>
          <w:sz w:val="30"/>
          <w:szCs w:val="30"/>
        </w:rPr>
        <w:t xml:space="preserve">20.3 Phase 3: Derivatives and Scale (Months 13-18)</w:t>
      </w:r>
      <w:bookmarkEnd w:id="100118"/>
    </w:p>
    <w:p>
      <w:pPr>
        <w:spacing w:after="120" w:line="312"/>
        <w:jc w:val="both"/>
      </w:pPr>
      <w:r>
        <w:rPr>
          <w:rFonts w:ascii="Times New Roman"/>
          <w:color w:val="1A1A1A"/>
          <w:sz w:val="22"/>
          <w:szCs w:val="22"/>
        </w:rPr>
        <w:t xml:space="preserve">Phase 3 introduces advanced derivatives and scales the platform to handle significant volume. Deliverables include: options trading, delivery futures, copy trading, NFT marketplace (basic), advanced risk engine with ADL, 200+ trading pairs, multi-chain support (20+ blockchains), white-label B2B solution (beta), advanced analytics dashboard, AI-powered fraud detection, US market entry (SEC/CFTC licensed entity or partnership), and platform scaling to 10 million registered users. Team: 350-400 engineers. Budget: USD 60-80 million.</w:t>
      </w:r>
    </w:p>
    <w:p>
      <w:pPr>
        <w:pStyle w:val="Heading2"/>
        <w:spacing w:after="160" w:before="360" w:line="312"/>
      </w:pPr>
      <w:bookmarkStart w:id="100119" w:name="_Toc100119"/>
      <w:r>
        <w:rPr>
          <w:rFonts w:ascii="Times New Roman"/>
          <w:b/>
          <w:bCs/>
          <w:color w:val="0F2027"/>
          <w:sz w:val="30"/>
          <w:szCs w:val="30"/>
        </w:rPr>
        <w:t xml:space="preserve">20.4 Phase 4: Ecosystem (Months 19-24)</w:t>
      </w:r>
      <w:bookmarkEnd w:id="100119"/>
    </w:p>
    <w:p>
      <w:pPr>
        <w:spacing w:after="120" w:line="312"/>
        <w:jc w:val="both"/>
      </w:pPr>
      <w:r>
        <w:rPr>
          <w:rFonts w:ascii="Times New Roman"/>
          <w:color w:val="1A1A1A"/>
          <w:sz w:val="22"/>
          <w:szCs w:val="22"/>
        </w:rPr>
        <w:t xml:space="preserve">Phase 4 builds out the platform ecosystem and achieves Tier-1 exchange status. Deliverables include: native exchange token launch, decentralized custody option (MPC wallet), cross-chain swaps, advanced NFT marketplace (auctions, royalties), OTC trading desk, institutional custody service, portfolio margining, sub-account management, launchpad for token launches, social trading features, 40+ language support, and platform scaling to 50 million registered users with 500,000+ daily active users. Team: 500-600 engineers. Budget: USD 100-120 million.</w:t>
      </w:r>
    </w:p>
    <w:p>
      <w:pPr>
        <w:pStyle w:val="Heading2"/>
        <w:spacing w:after="160" w:before="360" w:line="312"/>
      </w:pPr>
      <w:bookmarkStart w:id="100120" w:name="_Toc100120"/>
      <w:r>
        <w:rPr>
          <w:rFonts w:ascii="Times New Roman"/>
          <w:b/>
          <w:bCs/>
          <w:color w:val="0F2027"/>
          <w:sz w:val="30"/>
          <w:szCs w:val="30"/>
        </w:rPr>
        <w:t xml:space="preserve">20.5 Phase 5: World-Class (Months 25-36)</w:t>
      </w:r>
      <w:bookmarkEnd w:id="100120"/>
    </w:p>
    <w:p>
      <w:pPr>
        <w:spacing w:after="120" w:line="312"/>
        <w:jc w:val="both"/>
      </w:pPr>
      <w:r>
        <w:rPr>
          <w:rFonts w:ascii="Times New Roman"/>
          <w:color w:val="1A1A1A"/>
          <w:sz w:val="22"/>
          <w:szCs w:val="22"/>
        </w:rPr>
        <w:t xml:space="preserve">Phase 5 achieves the world-class status goal with comprehensive features and global presence. Deliverables include: AI trading assistant, advanced DeFi integration (yield farming aggregator, cross-chain bridge), enterprise API marketplace, regulated derivatives exchange (fully licensed), global payment processing network, 1000+ trading pairs, 30+ blockchain networks, platform scaling to 100 million registered users with 1 million+ daily active users, and operational presence in 50+ countries with local offices in major markets. Team: 800-1000 engineers. Budget: USD 200-300 million.</w:t>
      </w:r>
    </w:p>
    <w:p>
      <w:pPr>
        <w:keepNext/>
        <w:spacing w:after="80" w:before="200" w:line="312"/>
      </w:pPr>
      <w:r>
        <w:rPr>
          <w:rFonts w:ascii="Times New Roman"/>
          <w:b/>
          <w:bCs/>
          <w:i/>
          <w:iCs/>
          <w:color w:val="4A6575"/>
          <w:sz w:val="20"/>
          <w:szCs w:val="20"/>
        </w:rPr>
        <w:t xml:space="preserve">Table 20.1: Development Roadmap Summary</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tblGrid>
      <w:tr>
        <w:trPr>
          <w:cantSplit/>
          <w:tblHeader/>
        </w:trPr>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Phase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Timeline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Key Deliverables</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Team Size</w:t>
            </w:r>
          </w:p>
        </w:tc>
        <w:tc>
          <w:tcPr>
            <w:shd w:fill="1B6B7A" w:val="clear"/>
            <w:tcMar>
              <w:top w:type="dxa" w:w="60"/>
              <w:left w:type="dxa" w:w="100"/>
              <w:bottom w:type="dxa" w:w="60"/>
              <w:right w:type="dxa" w:w="100"/>
            </w:tcMar>
          </w:tcPr>
          <w:p>
            <w:pPr>
              <w:jc w:val="center"/>
            </w:pPr>
            <w:r>
              <w:rPr>
                <w:rFonts w:ascii="Times New Roman"/>
                <w:b/>
                <w:bCs/>
                <w:color w:val="FFFFFF"/>
                <w:sz w:val="20"/>
                <w:szCs w:val="20"/>
              </w:rPr>
              <w:t xml:space="preserve">Budget</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Phase 1: Foundation</w:t>
            </w:r>
          </w:p>
        </w:tc>
        <w:tc>
          <w:tcPr>
            <w:shd w:fill="EDF3F5" w:val="clear"/>
            <w:tcMar>
              <w:top w:type="dxa" w:w="50"/>
              <w:left w:type="dxa" w:w="100"/>
              <w:bottom w:type="dxa" w:w="50"/>
              <w:right w:type="dxa" w:w="100"/>
            </w:tcMar>
          </w:tcPr>
          <w:p>
            <w:r>
              <w:rPr>
                <w:rFonts w:ascii="Times New Roman"/>
                <w:color w:val="1A1A1A"/>
                <w:sz w:val="20"/>
                <w:szCs w:val="20"/>
              </w:rPr>
              <w:t xml:space="preserve">Months 1-6</w:t>
            </w:r>
          </w:p>
        </w:tc>
        <w:tc>
          <w:tcPr>
            <w:shd w:fill="EDF3F5" w:val="clear"/>
            <w:tcMar>
              <w:top w:type="dxa" w:w="50"/>
              <w:left w:type="dxa" w:w="100"/>
              <w:bottom w:type="dxa" w:w="50"/>
              <w:right w:type="dxa" w:w="100"/>
            </w:tcMar>
          </w:tcPr>
          <w:p>
            <w:r>
              <w:rPr>
                <w:rFonts w:ascii="Times New Roman"/>
                <w:color w:val="1A1A1A"/>
                <w:sz w:val="20"/>
                <w:szCs w:val="20"/>
              </w:rPr>
              <w:t xml:space="preserve">Spot trading, core infra, KYC, basic APIs</w:t>
            </w:r>
          </w:p>
        </w:tc>
        <w:tc>
          <w:tcPr>
            <w:shd w:fill="EDF3F5" w:val="clear"/>
            <w:tcMar>
              <w:top w:type="dxa" w:w="50"/>
              <w:left w:type="dxa" w:w="100"/>
              <w:bottom w:type="dxa" w:w="50"/>
              <w:right w:type="dxa" w:w="100"/>
            </w:tcMar>
          </w:tcPr>
          <w:p>
            <w:r>
              <w:rPr>
                <w:rFonts w:ascii="Times New Roman"/>
                <w:color w:val="1A1A1A"/>
                <w:sz w:val="20"/>
                <w:szCs w:val="20"/>
              </w:rPr>
              <w:t xml:space="preserve">80-100</w:t>
            </w:r>
          </w:p>
        </w:tc>
        <w:tc>
          <w:tcPr>
            <w:shd w:fill="EDF3F5" w:val="clear"/>
            <w:tcMar>
              <w:top w:type="dxa" w:w="50"/>
              <w:left w:type="dxa" w:w="100"/>
              <w:bottom w:type="dxa" w:w="50"/>
              <w:right w:type="dxa" w:w="100"/>
            </w:tcMar>
          </w:tcPr>
          <w:p>
            <w:r>
              <w:rPr>
                <w:rFonts w:ascii="Times New Roman"/>
                <w:color w:val="1A1A1A"/>
                <w:sz w:val="20"/>
                <w:szCs w:val="20"/>
              </w:rPr>
              <w:t xml:space="preserve">$15-20M</w:t>
            </w:r>
          </w:p>
        </w:tc>
      </w:tr>
      <w:tr>
        <w:trPr>
          <w:cantSplit/>
        </w:trPr>
        <w:tc>
          <w:tcPr>
            <w:tcMar>
              <w:top w:type="dxa" w:w="50"/>
              <w:left w:type="dxa" w:w="100"/>
              <w:bottom w:type="dxa" w:w="50"/>
              <w:right w:type="dxa" w:w="100"/>
            </w:tcMar>
          </w:tcPr>
          <w:p>
            <w:r>
              <w:rPr>
                <w:rFonts w:ascii="Times New Roman"/>
                <w:color w:val="1A1A1A"/>
                <w:sz w:val="20"/>
                <w:szCs w:val="20"/>
              </w:rPr>
              <w:t xml:space="preserve">Phase 2: Expansion</w:t>
            </w:r>
          </w:p>
        </w:tc>
        <w:tc>
          <w:tcPr>
            <w:tcMar>
              <w:top w:type="dxa" w:w="50"/>
              <w:left w:type="dxa" w:w="100"/>
              <w:bottom w:type="dxa" w:w="50"/>
              <w:right w:type="dxa" w:w="100"/>
            </w:tcMar>
          </w:tcPr>
          <w:p>
            <w:r>
              <w:rPr>
                <w:rFonts w:ascii="Times New Roman"/>
                <w:color w:val="1A1A1A"/>
                <w:sz w:val="20"/>
                <w:szCs w:val="20"/>
              </w:rPr>
              <w:t xml:space="preserve">Months 7-12</w:t>
            </w:r>
          </w:p>
        </w:tc>
        <w:tc>
          <w:tcPr>
            <w:tcMar>
              <w:top w:type="dxa" w:w="50"/>
              <w:left w:type="dxa" w:w="100"/>
              <w:bottom w:type="dxa" w:w="50"/>
              <w:right w:type="dxa" w:w="100"/>
            </w:tcMar>
          </w:tcPr>
          <w:p>
            <w:r>
              <w:rPr>
                <w:rFonts w:ascii="Times New Roman"/>
                <w:color w:val="1A1A1A"/>
                <w:sz w:val="20"/>
                <w:szCs w:val="20"/>
              </w:rPr>
              <w:t xml:space="preserve">Margin, futures, P2P, staking, FIX API</w:t>
            </w:r>
          </w:p>
        </w:tc>
        <w:tc>
          <w:tcPr>
            <w:tcMar>
              <w:top w:type="dxa" w:w="50"/>
              <w:left w:type="dxa" w:w="100"/>
              <w:bottom w:type="dxa" w:w="50"/>
              <w:right w:type="dxa" w:w="100"/>
            </w:tcMar>
          </w:tcPr>
          <w:p>
            <w:r>
              <w:rPr>
                <w:rFonts w:ascii="Times New Roman"/>
                <w:color w:val="1A1A1A"/>
                <w:sz w:val="20"/>
                <w:szCs w:val="20"/>
              </w:rPr>
              <w:t xml:space="preserve">200-250</w:t>
            </w:r>
          </w:p>
        </w:tc>
        <w:tc>
          <w:tcPr>
            <w:tcMar>
              <w:top w:type="dxa" w:w="50"/>
              <w:left w:type="dxa" w:w="100"/>
              <w:bottom w:type="dxa" w:w="50"/>
              <w:right w:type="dxa" w:w="100"/>
            </w:tcMar>
          </w:tcPr>
          <w:p>
            <w:r>
              <w:rPr>
                <w:rFonts w:ascii="Times New Roman"/>
                <w:color w:val="1A1A1A"/>
                <w:sz w:val="20"/>
                <w:szCs w:val="20"/>
              </w:rPr>
              <w:t xml:space="preserve">$30-40M</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Phase 3: Derivatives</w:t>
            </w:r>
          </w:p>
        </w:tc>
        <w:tc>
          <w:tcPr>
            <w:shd w:fill="EDF3F5" w:val="clear"/>
            <w:tcMar>
              <w:top w:type="dxa" w:w="50"/>
              <w:left w:type="dxa" w:w="100"/>
              <w:bottom w:type="dxa" w:w="50"/>
              <w:right w:type="dxa" w:w="100"/>
            </w:tcMar>
          </w:tcPr>
          <w:p>
            <w:r>
              <w:rPr>
                <w:rFonts w:ascii="Times New Roman"/>
                <w:color w:val="1A1A1A"/>
                <w:sz w:val="20"/>
                <w:szCs w:val="20"/>
              </w:rPr>
              <w:t xml:space="preserve">Months 13-18</w:t>
            </w:r>
          </w:p>
        </w:tc>
        <w:tc>
          <w:tcPr>
            <w:shd w:fill="EDF3F5" w:val="clear"/>
            <w:tcMar>
              <w:top w:type="dxa" w:w="50"/>
              <w:left w:type="dxa" w:w="100"/>
              <w:bottom w:type="dxa" w:w="50"/>
              <w:right w:type="dxa" w:w="100"/>
            </w:tcMar>
          </w:tcPr>
          <w:p>
            <w:r>
              <w:rPr>
                <w:rFonts w:ascii="Times New Roman"/>
                <w:color w:val="1A1A1A"/>
                <w:sz w:val="20"/>
                <w:szCs w:val="20"/>
              </w:rPr>
              <w:t xml:space="preserve">Options, NFT, copy trading, AI fraud</w:t>
            </w:r>
          </w:p>
        </w:tc>
        <w:tc>
          <w:tcPr>
            <w:shd w:fill="EDF3F5" w:val="clear"/>
            <w:tcMar>
              <w:top w:type="dxa" w:w="50"/>
              <w:left w:type="dxa" w:w="100"/>
              <w:bottom w:type="dxa" w:w="50"/>
              <w:right w:type="dxa" w:w="100"/>
            </w:tcMar>
          </w:tcPr>
          <w:p>
            <w:r>
              <w:rPr>
                <w:rFonts w:ascii="Times New Roman"/>
                <w:color w:val="1A1A1A"/>
                <w:sz w:val="20"/>
                <w:szCs w:val="20"/>
              </w:rPr>
              <w:t xml:space="preserve">350-400</w:t>
            </w:r>
          </w:p>
        </w:tc>
        <w:tc>
          <w:tcPr>
            <w:shd w:fill="EDF3F5" w:val="clear"/>
            <w:tcMar>
              <w:top w:type="dxa" w:w="50"/>
              <w:left w:type="dxa" w:w="100"/>
              <w:bottom w:type="dxa" w:w="50"/>
              <w:right w:type="dxa" w:w="100"/>
            </w:tcMar>
          </w:tcPr>
          <w:p>
            <w:r>
              <w:rPr>
                <w:rFonts w:ascii="Times New Roman"/>
                <w:color w:val="1A1A1A"/>
                <w:sz w:val="20"/>
                <w:szCs w:val="20"/>
              </w:rPr>
              <w:t xml:space="preserve">$60-80M</w:t>
            </w:r>
          </w:p>
        </w:tc>
      </w:tr>
      <w:tr>
        <w:trPr>
          <w:cantSplit/>
        </w:trPr>
        <w:tc>
          <w:tcPr>
            <w:tcMar>
              <w:top w:type="dxa" w:w="50"/>
              <w:left w:type="dxa" w:w="100"/>
              <w:bottom w:type="dxa" w:w="50"/>
              <w:right w:type="dxa" w:w="100"/>
            </w:tcMar>
          </w:tcPr>
          <w:p>
            <w:r>
              <w:rPr>
                <w:rFonts w:ascii="Times New Roman"/>
                <w:color w:val="1A1A1A"/>
                <w:sz w:val="20"/>
                <w:szCs w:val="20"/>
              </w:rPr>
              <w:t xml:space="preserve">Phase 4: Ecosystem</w:t>
            </w:r>
          </w:p>
        </w:tc>
        <w:tc>
          <w:tcPr>
            <w:tcMar>
              <w:top w:type="dxa" w:w="50"/>
              <w:left w:type="dxa" w:w="100"/>
              <w:bottom w:type="dxa" w:w="50"/>
              <w:right w:type="dxa" w:w="100"/>
            </w:tcMar>
          </w:tcPr>
          <w:p>
            <w:r>
              <w:rPr>
                <w:rFonts w:ascii="Times New Roman"/>
                <w:color w:val="1A1A1A"/>
                <w:sz w:val="20"/>
                <w:szCs w:val="20"/>
              </w:rPr>
              <w:t xml:space="preserve">Months 19-24</w:t>
            </w:r>
          </w:p>
        </w:tc>
        <w:tc>
          <w:tcPr>
            <w:tcMar>
              <w:top w:type="dxa" w:w="50"/>
              <w:left w:type="dxa" w:w="100"/>
              <w:bottom w:type="dxa" w:w="50"/>
              <w:right w:type="dxa" w:w="100"/>
            </w:tcMar>
          </w:tcPr>
          <w:p>
            <w:r>
              <w:rPr>
                <w:rFonts w:ascii="Times New Roman"/>
                <w:color w:val="1A1A1A"/>
                <w:sz w:val="20"/>
                <w:szCs w:val="20"/>
              </w:rPr>
              <w:t xml:space="preserve">Token, MPC, OTC, launchpad, global scale</w:t>
            </w:r>
          </w:p>
        </w:tc>
        <w:tc>
          <w:tcPr>
            <w:tcMar>
              <w:top w:type="dxa" w:w="50"/>
              <w:left w:type="dxa" w:w="100"/>
              <w:bottom w:type="dxa" w:w="50"/>
              <w:right w:type="dxa" w:w="100"/>
            </w:tcMar>
          </w:tcPr>
          <w:p>
            <w:r>
              <w:rPr>
                <w:rFonts w:ascii="Times New Roman"/>
                <w:color w:val="1A1A1A"/>
                <w:sz w:val="20"/>
                <w:szCs w:val="20"/>
              </w:rPr>
              <w:t xml:space="preserve">500-600</w:t>
            </w:r>
          </w:p>
        </w:tc>
        <w:tc>
          <w:tcPr>
            <w:tcMar>
              <w:top w:type="dxa" w:w="50"/>
              <w:left w:type="dxa" w:w="100"/>
              <w:bottom w:type="dxa" w:w="50"/>
              <w:right w:type="dxa" w:w="100"/>
            </w:tcMar>
          </w:tcPr>
          <w:p>
            <w:r>
              <w:rPr>
                <w:rFonts w:ascii="Times New Roman"/>
                <w:color w:val="1A1A1A"/>
                <w:sz w:val="20"/>
                <w:szCs w:val="20"/>
              </w:rPr>
              <w:t xml:space="preserve">$100-120M</w:t>
            </w:r>
          </w:p>
        </w:tc>
      </w:tr>
      <w:tr>
        <w:trPr>
          <w:cantSplit/>
        </w:trPr>
        <w:tc>
          <w:tcPr>
            <w:shd w:fill="EDF3F5" w:val="clear"/>
            <w:tcMar>
              <w:top w:type="dxa" w:w="50"/>
              <w:left w:type="dxa" w:w="100"/>
              <w:bottom w:type="dxa" w:w="50"/>
              <w:right w:type="dxa" w:w="100"/>
            </w:tcMar>
          </w:tcPr>
          <w:p>
            <w:r>
              <w:rPr>
                <w:rFonts w:ascii="Times New Roman"/>
                <w:color w:val="1A1A1A"/>
                <w:sz w:val="20"/>
                <w:szCs w:val="20"/>
              </w:rPr>
              <w:t xml:space="preserve">Phase 5: World-Class</w:t>
            </w:r>
          </w:p>
        </w:tc>
        <w:tc>
          <w:tcPr>
            <w:shd w:fill="EDF3F5" w:val="clear"/>
            <w:tcMar>
              <w:top w:type="dxa" w:w="50"/>
              <w:left w:type="dxa" w:w="100"/>
              <w:bottom w:type="dxa" w:w="50"/>
              <w:right w:type="dxa" w:w="100"/>
            </w:tcMar>
          </w:tcPr>
          <w:p>
            <w:r>
              <w:rPr>
                <w:rFonts w:ascii="Times New Roman"/>
                <w:color w:val="1A1A1A"/>
                <w:sz w:val="20"/>
                <w:szCs w:val="20"/>
              </w:rPr>
              <w:t xml:space="preserve">Months 25-36</w:t>
            </w:r>
          </w:p>
        </w:tc>
        <w:tc>
          <w:tcPr>
            <w:shd w:fill="EDF3F5" w:val="clear"/>
            <w:tcMar>
              <w:top w:type="dxa" w:w="50"/>
              <w:left w:type="dxa" w:w="100"/>
              <w:bottom w:type="dxa" w:w="50"/>
              <w:right w:type="dxa" w:w="100"/>
            </w:tcMar>
          </w:tcPr>
          <w:p>
            <w:r>
              <w:rPr>
                <w:rFonts w:ascii="Times New Roman"/>
                <w:color w:val="1A1A1A"/>
                <w:sz w:val="20"/>
                <w:szCs w:val="20"/>
              </w:rPr>
              <w:t xml:space="preserve">Full platform, DeFi, 100M users, 50+ countries</w:t>
            </w:r>
          </w:p>
        </w:tc>
        <w:tc>
          <w:tcPr>
            <w:shd w:fill="EDF3F5" w:val="clear"/>
            <w:tcMar>
              <w:top w:type="dxa" w:w="50"/>
              <w:left w:type="dxa" w:w="100"/>
              <w:bottom w:type="dxa" w:w="50"/>
              <w:right w:type="dxa" w:w="100"/>
            </w:tcMar>
          </w:tcPr>
          <w:p>
            <w:r>
              <w:rPr>
                <w:rFonts w:ascii="Times New Roman"/>
                <w:color w:val="1A1A1A"/>
                <w:sz w:val="20"/>
                <w:szCs w:val="20"/>
              </w:rPr>
              <w:t xml:space="preserve">800-1000</w:t>
            </w:r>
          </w:p>
        </w:tc>
        <w:tc>
          <w:tcPr>
            <w:shd w:fill="EDF3F5" w:val="clear"/>
            <w:tcMar>
              <w:top w:type="dxa" w:w="50"/>
              <w:left w:type="dxa" w:w="100"/>
              <w:bottom w:type="dxa" w:w="50"/>
              <w:right w:type="dxa" w:w="100"/>
            </w:tcMar>
          </w:tcPr>
          <w:p>
            <w:r>
              <w:rPr>
                <w:rFonts w:ascii="Times New Roman"/>
                <w:color w:val="1A1A1A"/>
                <w:sz w:val="20"/>
                <w:szCs w:val="20"/>
              </w:rPr>
              <w:t xml:space="preserve">$200-300M</w:t>
            </w:r>
          </w:p>
        </w:tc>
      </w:tr>
    </w:tbl>
    <w:p>
      <w:pPr>
        <w:spacing w:after="60" w:before="60"/>
      </w:pP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4A6575"/>
        <w:sz w:val="18"/>
        <w:szCs w:val="18"/>
      </w:rPr>
      <w:t xml:space="preserve">NexusTrade Exchange | Software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Times New Roman"/>
      <w:b/>
      <w:bCs/>
      <w:color w:val="0F2027"/>
      <w:sz w:val="36"/>
      <w:szCs w:val="36"/>
    </w:rPr>
  </w:style>
  <w:style w:type="paragraph" w:styleId="Heading2">
    <w:name w:val="Heading 2"/>
    <w:basedOn w:val="Normal"/>
    <w:next w:val="Normal"/>
    <w:qFormat/>
    <w:pPr>
      <w:spacing w:after="160" w:before="360" w:line="312"/>
      <w:outlineLvl w:val="1"/>
    </w:pPr>
    <w:rPr>
      <w:rFonts w:ascii="Times New Roman"/>
      <w:b/>
      <w:bCs/>
      <w:color w:val="0F2027"/>
      <w:sz w:val="30"/>
      <w:szCs w:val="30"/>
    </w:rPr>
  </w:style>
  <w:style w:type="paragraph" w:styleId="Heading3">
    <w:name w:val="Heading 3"/>
    <w:basedOn w:val="Normal"/>
    <w:next w:val="Normal"/>
    <w:qFormat/>
    <w:pPr>
      <w:spacing w:after="120" w:before="240" w:line="312"/>
      <w:outlineLvl w:val="2"/>
    </w:pPr>
    <w:rPr>
      <w:rFonts w:ascii="Times New Roman"/>
      <w:b/>
      <w:bCs/>
      <w:color w:val="4A6575"/>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NexusTrade Exchange - Software Requirements Document</dc:title>
  <dc:creator>NexusTrade Architecture Team</dc:creator>
  <dc:description>Comprehensive SRD/PRD for a Binance-scale cryptocurrency exchange platform</dc:description>
  <cp:lastModifiedBy>Un-named</cp:lastModifiedBy>
  <cp:revision>1</cp:revision>
  <dcterms:created xsi:type="dcterms:W3CDTF">2026-06-09T07:56:39.517Z</dcterms:created>
  <dcterms:modified xsi:type="dcterms:W3CDTF">2026-06-09T07:56:39.517Z</dcterms:modified>
</cp:coreProperties>
</file>

<file path=docProps/custom.xml><?xml version="1.0" encoding="utf-8"?>
<Properties xmlns="http://schemas.openxmlformats.org/officeDocument/2006/custom-properties" xmlns:vt="http://schemas.openxmlformats.org/officeDocument/2006/docPropsVTypes"/>
</file>