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BRAF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  <w:gridCol w:w="2065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BRAF expression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439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Fisher's exact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69.0 [58.0, 78.0]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[57.0,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184 (41.9%)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(41.8%)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(42.0%)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(58.1%)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(58.2%)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(58.0%)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234 (53.3%)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(53.2%)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(53.4%)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 (46.7%)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(46.8%)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(46.6%)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0.365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(39.5%)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(42.9%)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(36.2%)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(29.8%)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(29.5%)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(30.0%)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0.398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301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152 (69.1%)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 (68.0%)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0.248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258 (58.8%)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 (60.5%)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125 (57.1%)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(22.4%)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325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174 (87.4%)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(81.2%)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0.285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242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(59.0%)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 (53.5%)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(41.0%)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(46.5%)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(65.1%)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(69.5%)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(61.3%)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(30.5%)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(38.7%)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244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 (59.0%)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126 (64.6%)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 (41.0%)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(35.4%)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291 (76.6%)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146 (77.7%)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145 (75.5%)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(22.3%)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318 (92.7%)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167 (94.4%)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(91.0%)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0.580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374 (86.2%)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184 (85.2%)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190 (87.2%)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(21.8%)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(23.7%)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(32.2%)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(47.2%)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(52.8%)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2026-10-27T13:32:42Z</dcterms:modified>
  <cp:category/>
</cp:coreProperties>
</file>