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1. Clinical characteristics of TCGA-COAD patients by TIMP1 expression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967"/>
        <w:gridCol w:w="2001"/>
        <w:gridCol w:w="2001"/>
        <w:gridCol w:w="2001"/>
        <w:gridCol w:w="1181"/>
        <w:gridCol w:w="2065"/>
      </w:tblGrid>
      <w:tr>
        <w:trPr>
          <w:trHeight w:val="460" w:hRule="auto"/>
          <w:tblHeader/>
        </w:trPr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TIMP1 expression</w:t>
            </w:r>
          </w:p>
        </w:tc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trHeight w:val="676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439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220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219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p-value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Fisher's exact p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Age, years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68.0 [58.0, 77.0]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68.0 [56.5, 76.5]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68.0 [59.0, 77.0]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0.500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0.629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184 (41.9%)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95 (43.2%)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89 (40.6%)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255 (58.1%)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125 (56.8%)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130 (59.4%)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0.293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234 (53.3%)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123 (55.9%)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111 (50.7%)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205 (46.7%)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97 (44.1%)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108 (49.3%)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0.986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72 (16.7%)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36 (16.8%)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36 (16.7%)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170 (39.5%)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86 (40.2%)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84 (38.9%)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128 (29.8%)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62 (29.0%)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66 (30.6%)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 (14.0%)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 (14.0%)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 (13.9%)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0.436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 (2.7%)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 (2.7%)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 (2.7%)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75 (17.1%)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 (17.7%)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36 (16.4%)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301 (68.6%)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155 (70.5%)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146 (66.7%)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51 (11.6%)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 (9.1%)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 (14.2%)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0.189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258 (58.8%)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135 (61.4%)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123 (56.2%)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104 (23.7%)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 (20.0%)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 (27.4%)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77 (17.5%)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 (18.6%)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36 (16.4%)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0.889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325 (84.4%)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158 (84.0%)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167 (84.8%)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 (15.6%)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 (16.0%)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 (15.2%)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0.771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242 (56.3%)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122 (57.0%)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120 (55.6%)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188 (43.7%)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92 (43.0%)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96 (44.4%)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Pretreatment CEA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0.706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≤5 ng/mL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181 (65.1%)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91 (66.4%)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90 (63.8%)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&gt;5 ng/mL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97 (34.9%)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46 (33.6%)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51 (36.2%)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Lymphovascular invasion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0.214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244 (61.8%)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123 (65.1%)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121 (58.7%)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151 (38.2%)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66 (34.9%)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85 (41.3%)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Vascular invasion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0.117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291 (76.6%)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149 (80.1%)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142 (73.2%)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89 (23.4%)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 (19.9%)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52 (26.8%)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Residual tumor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0.296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318 (92.7%)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151 (91.5%)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167 (93.8%)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 (6.1%)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 (7.9%)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 (4.5%)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Histology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Colon Adenocarcinoma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374 (86.2%)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201 (92.2%)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173 (80.1%)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Colon Mucinous Adenocarcinoma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 (13.8%)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 (7.8%)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 (19.9%)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Tumor site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0.051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Ascending Colon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85 (20.1%)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33 (15.4%)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52 (24.9%)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Cecum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102 (24.1%)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51 (23.8%)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51 (24.4%)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Descending Colon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 (4.5%)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 (5.1%)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 (3.8%)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Hepatic Flexure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 (6.4%)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 (5.1%)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 (7.7%)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Rectosigmoid Junction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Sigmoid Colon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144 (34.0%)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83 (38.8%)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61 (29.2%)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Splenic Flexure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 (1.7%)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 (2.8%)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Transverse Colon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 (9.0%)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 (8.9%)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 (9.1%)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Tumor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0.423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Tumor free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196 (49.7%)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93 (47.7%)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103 (51.8%)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With tumor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198 (50.3%)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102 (52.3%)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96 (48.2%)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0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Median [Q1, Q3]; n (%)</w:t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Wilcoxon rank sum test; Pearson's chi-squared test; Fisher's exact test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2026-10-27T13:33:06Z</dcterms:modified>
  <cp:category/>
</cp:coreProperties>
</file>