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the TCGA-COAD cohort (N = 457)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7"/>
        <w:gridCol w:w="2001"/>
      </w:tblGrid>
      <w:tr>
        <w:trPr>
          <w:trHeight w:val="4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 = 457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[58.0, 77.0]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190 (41.7%)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(58.3%)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241 (52.9%)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 (47.1%)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(16.8%)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(39.6%)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(29.3%)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(14.3%)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 (17.1%)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(68.2%)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(12.1%)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268 (58.8%)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(23.2%)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336 (84.0%)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(16.0%)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 (56.4%)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(43.6%)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(65.7%)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(34.3%)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Lymphovascular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249 (60.4%)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(39.6%)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Vascular invasion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300 (75.9%)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 (24.1%)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Residual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329 (91.6%)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(7.2%)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Histology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389 (86.3%)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 Mucinous Adenocarcinoma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(13.7%)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 (19.8%)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Cecum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107 (24.3%)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Descending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(4.5%)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Hepatic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(6.1%)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Rectosigmoid 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Sigmoid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(34.3%)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Splenic Flexure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Transverse Colon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(9.1%)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free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(48.2%)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With 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213 (51.8%)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2026-10-27T13:32:24Z</dcterms:modified>
  <cp:category/>
</cp:coreProperties>
</file>