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TIMP1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  <w:gridCol w:w="2065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Fisher's exact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[59.0,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(72.7%)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(59.2%)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(90.5%)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(90.8%)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2026-10-27T13:33:40Z</dcterms:modified>
  <cp:category/>
</cp:coreProperties>
</file>