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ROCK2 expression, GSE39582 (CIT, colon).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45"/>
        <w:gridCol w:w="1251"/>
        <w:gridCol w:w="921"/>
        <w:gridCol w:w="681"/>
        <w:gridCol w:w="931"/>
        <w:gridCol w:w="2431"/>
        <w:gridCol w:w="1760"/>
        <w:gridCol w:w="1760"/>
        <w:gridCol w:w="128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Endpoint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Log-rank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145.0 (132.0–NR)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78.7% (73.8–83.9)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69.0% (63.4–75.3)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105.0 (86.0–NR)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77.0% (72.0–82.3)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66.0% (60.2–72.3)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(102.0–NR)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75.1% (69.0–81.8)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64.7% (57.7–72.5)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105.0 (86.0–NR)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77.5% (72.3–83.1)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65.5% (59.4–72.3)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(119.0–NR)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68.6% (63.1–74.4)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65.0% (59.4–71.2)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71.5% (66.1–77.3)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67.3% (61.5–73.5)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(93.0–NR)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60.9% (54.1–68.5)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58.2% (51.3–66.0)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69.4% (63.6–75.8)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64.8% (58.6–71.6)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2026-10-27T13:19:13Z</dcterms:modified>
  <cp:category/>
</cp:coreProperties>
</file>