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External validation of ROCK2 expression (High vs Low, median split of probe 211504_x_at within tumors) in GSE39582 (CIT, colon). HR from Cox regression; multivariable models adjusted for age (per 10 years), sex, pathologic stage group and pretreatment cea; '+ MMR status' additionally adjusts for mmr status and '(MMR status known)' is the model without it on the same patients. Interaction p = likelihood-ratio test for ROCK2 group × mmr status. Time-split HRs (0–24 / &gt;24 months, adjusted) are shown only when the gene term violated proportional hazards. RMST difference = High − Low restricted mean survival time up to 60 months. Relapse-free survival excludes stage NaN. Direction compared with the TCGA-COAD multivariable HR 0.46.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04"/>
        <w:gridCol w:w="1064"/>
        <w:gridCol w:w="2705"/>
        <w:gridCol w:w="621"/>
        <w:gridCol w:w="815"/>
        <w:gridCol w:w="1344"/>
        <w:gridCol w:w="726"/>
        <w:gridCol w:w="726"/>
        <w:gridCol w:w="1262"/>
        <w:gridCol w:w="1441"/>
        <w:gridCol w:w="1192"/>
        <w:gridCol w:w="1091"/>
        <w:gridCol w:w="3109"/>
        <w:gridCol w:w="928"/>
        <w:gridCol w:w="2028"/>
        <w:gridCol w:w="1840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PH p (gene term)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Interaction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Direction as TCGA-COAD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Exploratory (EPV &lt;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 (0.94–1.66)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-1.14 (-4.14, 1.86)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 (0.79–1.37)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 (0.88–1.57)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 (0.87–1.58)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 (0.83–1.56)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 (0.80–1.52)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 (-3.34, 3.63)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 (0.64–1.24)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 (0.75–1.43)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 (0.72–1.29)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 (-3.21, 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 (0.74–1.30)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 (0.73–1.32)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(MMR status known)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 (0.75–1.38)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MMR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 (0.64–1.20)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 (0.61–1.14)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3.18 (-1.35, 7.71)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Univariable, continuous (per 1 log2 unit)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 (0.58–1.12)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 (0.63–1.19)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2026-10-27T13:19:12Z</dcterms:modified>
  <cp:category/>
</cp:coreProperties>
</file>